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B4285" w14:textId="019E79FF" w:rsidR="006F732E" w:rsidRPr="003433C9" w:rsidRDefault="003A405F" w:rsidP="003433C9">
      <w:pPr>
        <w:pStyle w:val="Title"/>
      </w:pPr>
      <w:r>
        <w:t>Service Level Agreement</w:t>
      </w:r>
      <w:r w:rsidR="00EE5E6F">
        <w:t xml:space="preserve"> for [Department] for [Service/Support]</w:t>
      </w:r>
    </w:p>
    <w:p w14:paraId="11BDB1E9" w14:textId="75630BB7" w:rsidR="00CC17A4" w:rsidRDefault="00EE5E6F" w:rsidP="00A45FB4">
      <w:pPr>
        <w:pStyle w:val="BodyText"/>
      </w:pPr>
      <w:r>
        <w:t>This service level ag</w:t>
      </w:r>
      <w:r w:rsidRPr="007B2CEF">
        <w:t>reement (SLA) between the Office of Information Technology</w:t>
      </w:r>
      <w:r w:rsidR="00BA17BD">
        <w:t xml:space="preserve"> (OIT)</w:t>
      </w:r>
      <w:r w:rsidRPr="007B2CEF">
        <w:t xml:space="preserve">, and </w:t>
      </w:r>
      <w:r>
        <w:t xml:space="preserve">[customer] </w:t>
      </w:r>
      <w:r w:rsidRPr="007B2CEF">
        <w:t xml:space="preserve">establishes a commitment for OIT support </w:t>
      </w:r>
      <w:r w:rsidR="00BA17BD">
        <w:t>for [service</w:t>
      </w:r>
      <w:r w:rsidR="006C38D4">
        <w:t>(s)</w:t>
      </w:r>
      <w:r w:rsidR="00BA17BD">
        <w:t>]</w:t>
      </w:r>
      <w:r>
        <w:t xml:space="preserve">. </w:t>
      </w:r>
      <w:r w:rsidR="00901F41">
        <w:t>[Service name] is classified by OIT as a [Tolerant/Sensitive/Essential/Critical]</w:t>
      </w:r>
      <w:r w:rsidR="00901F41">
        <w:rPr>
          <w:rStyle w:val="FootnoteReference"/>
        </w:rPr>
        <w:footnoteReference w:id="1"/>
      </w:r>
      <w:r w:rsidR="00901F41">
        <w:t xml:space="preserve"> service. </w:t>
      </w:r>
      <w:r w:rsidRPr="007B2CEF">
        <w:t xml:space="preserve">This document </w:t>
      </w:r>
      <w:r w:rsidR="00BA17BD">
        <w:t xml:space="preserve">describes the services provided, </w:t>
      </w:r>
      <w:r w:rsidR="008A724C">
        <w:t xml:space="preserve">financial impact (if any), </w:t>
      </w:r>
      <w:r w:rsidR="009E1A2D">
        <w:t xml:space="preserve">processes for reporting issues and making requests, </w:t>
      </w:r>
      <w:r w:rsidR="008A724C">
        <w:t xml:space="preserve">and </w:t>
      </w:r>
      <w:r w:rsidR="00BA17BD">
        <w:t>responsibilities</w:t>
      </w:r>
      <w:r w:rsidR="00C1752B">
        <w:t xml:space="preserve"> of the department </w:t>
      </w:r>
      <w:r w:rsidR="008A724C">
        <w:t>and OIT</w:t>
      </w:r>
      <w:r w:rsidR="00BA17BD">
        <w:t>.</w:t>
      </w:r>
    </w:p>
    <w:p w14:paraId="18741326" w14:textId="3E7551C0" w:rsidR="00CC17A4" w:rsidRDefault="00CC17A4" w:rsidP="00CC17A4">
      <w:pPr>
        <w:pStyle w:val="Heading1"/>
      </w:pPr>
      <w:r>
        <w:t>Executive Summary</w:t>
      </w:r>
    </w:p>
    <w:p w14:paraId="20FE5723" w14:textId="642A3D65" w:rsidR="008A724C" w:rsidRPr="008A724C" w:rsidRDefault="008A724C" w:rsidP="00A34F2A">
      <w:pPr>
        <w:pStyle w:val="BodyText"/>
      </w:pPr>
      <w:r>
        <w:t xml:space="preserve">This summary </w:t>
      </w:r>
      <w:r w:rsidR="00AD7E76">
        <w:t>provides high-level information regarding services</w:t>
      </w:r>
      <w:r w:rsidR="00072329">
        <w:t xml:space="preserve"> and support</w:t>
      </w:r>
      <w:r w:rsidR="00AD7E76">
        <w:t xml:space="preserve">, the agreement period, </w:t>
      </w:r>
      <w:r w:rsidR="00072329">
        <w:t>cost</w:t>
      </w:r>
      <w:r w:rsidR="00AD7E76">
        <w:t>, and contacts. For detail, see the appropriate sections later in the document.</w:t>
      </w:r>
    </w:p>
    <w:p w14:paraId="2212CD3E" w14:textId="41130B6C" w:rsidR="00245607" w:rsidRDefault="00245607" w:rsidP="00245607">
      <w:pPr>
        <w:pStyle w:val="Heading2"/>
      </w:pPr>
      <w:r>
        <w:t>Services and Support</w:t>
      </w:r>
    </w:p>
    <w:p w14:paraId="6C2091C2" w14:textId="3B86A8D0" w:rsidR="00404CA0" w:rsidRDefault="00404CA0" w:rsidP="00245607">
      <w:pPr>
        <w:pStyle w:val="BodyText"/>
      </w:pPr>
      <w:r>
        <w:t>S</w:t>
      </w:r>
      <w:r w:rsidRPr="00281DC0">
        <w:t xml:space="preserve">upported services include </w:t>
      </w:r>
      <w:r w:rsidR="009E1A2D">
        <w:t xml:space="preserve">[list </w:t>
      </w:r>
      <w:r>
        <w:t>supported services</w:t>
      </w:r>
      <w:r w:rsidR="00B10163">
        <w:t>/applications</w:t>
      </w:r>
      <w:r w:rsidR="00901F41">
        <w:t>/servers</w:t>
      </w:r>
      <w:r>
        <w:t>]:</w:t>
      </w:r>
    </w:p>
    <w:p w14:paraId="650A4B9F" w14:textId="515EA4D7" w:rsidR="00245607" w:rsidRDefault="00404CA0" w:rsidP="00A34F2A">
      <w:pPr>
        <w:pStyle w:val="ListBullet"/>
      </w:pPr>
      <w:r>
        <w:t>[Service name</w:t>
      </w:r>
      <w:r w:rsidR="000601AE">
        <w:t>(s)</w:t>
      </w:r>
      <w:r>
        <w:t>]</w:t>
      </w:r>
    </w:p>
    <w:p w14:paraId="2BDDEECD" w14:textId="36E6B707" w:rsidR="0063020F" w:rsidRDefault="0063020F" w:rsidP="00A34F2A">
      <w:pPr>
        <w:pStyle w:val="ListBullet"/>
      </w:pPr>
      <w:r>
        <w:t>[Application name</w:t>
      </w:r>
      <w:r w:rsidR="000601AE">
        <w:t>(s)</w:t>
      </w:r>
      <w:r>
        <w:t>]</w:t>
      </w:r>
    </w:p>
    <w:p w14:paraId="351E8432" w14:textId="7F3FCF63" w:rsidR="000601AE" w:rsidRDefault="000601AE" w:rsidP="000601AE">
      <w:pPr>
        <w:pStyle w:val="ListBullet"/>
      </w:pPr>
      <w:r>
        <w:t>[Database(s)]</w:t>
      </w:r>
    </w:p>
    <w:p w14:paraId="7C1EF32E" w14:textId="6DFBA9C4" w:rsidR="0063020F" w:rsidRDefault="000601AE" w:rsidP="00A34F2A">
      <w:pPr>
        <w:pStyle w:val="ListBullet"/>
      </w:pPr>
      <w:r>
        <w:t>[</w:t>
      </w:r>
      <w:r w:rsidR="0063020F">
        <w:t>Server name</w:t>
      </w:r>
      <w:r>
        <w:t>(</w:t>
      </w:r>
      <w:r w:rsidR="0063020F">
        <w:t>s</w:t>
      </w:r>
      <w:r>
        <w:t>)</w:t>
      </w:r>
      <w:r w:rsidR="0063020F">
        <w:t>]</w:t>
      </w:r>
    </w:p>
    <w:p w14:paraId="676FC5FA" w14:textId="70029EA8" w:rsidR="00404CA0" w:rsidRDefault="00404CA0" w:rsidP="00404CA0">
      <w:pPr>
        <w:pStyle w:val="Heading2"/>
      </w:pPr>
      <w:r>
        <w:t>Agreement Period</w:t>
      </w:r>
    </w:p>
    <w:p w14:paraId="50F5E56F" w14:textId="78D75B11" w:rsidR="00A45FB4" w:rsidRPr="007B2CEF" w:rsidRDefault="00A45FB4" w:rsidP="00A45FB4">
      <w:pPr>
        <w:pStyle w:val="BodyText"/>
      </w:pPr>
      <w:r w:rsidRPr="007B2CEF">
        <w:t xml:space="preserve">This agreement </w:t>
      </w:r>
      <w:r w:rsidR="000C64D4">
        <w:t xml:space="preserve">is in effect from [date] to [date]. </w:t>
      </w:r>
      <w:r w:rsidRPr="007B2CEF">
        <w:t xml:space="preserve">Subsequent agreements will </w:t>
      </w:r>
      <w:r w:rsidR="003E521F">
        <w:t>be in effect for</w:t>
      </w:r>
      <w:r w:rsidRPr="007B2CEF">
        <w:t xml:space="preserve"> the Duke fiscal year</w:t>
      </w:r>
      <w:r w:rsidR="000C64D4">
        <w:t xml:space="preserve"> (</w:t>
      </w:r>
      <w:r w:rsidRPr="007B2CEF">
        <w:t xml:space="preserve">July 1 </w:t>
      </w:r>
      <w:r w:rsidR="000C64D4">
        <w:t xml:space="preserve">to June 30). Agreements should be </w:t>
      </w:r>
      <w:r w:rsidR="00401CEB">
        <w:t xml:space="preserve">reviewed </w:t>
      </w:r>
      <w:r w:rsidR="000C64D4">
        <w:t>each year</w:t>
      </w:r>
      <w:r w:rsidR="00401CEB">
        <w:t>, or when either the department or OIT deems it necessary, whichever comes sooner</w:t>
      </w:r>
      <w:r w:rsidR="000C64D4">
        <w:t>.</w:t>
      </w:r>
      <w:r w:rsidR="00401CEB">
        <w:t xml:space="preserve"> </w:t>
      </w:r>
    </w:p>
    <w:p w14:paraId="349A7071" w14:textId="5E9DBB60" w:rsidR="000C64D4" w:rsidRDefault="00072329" w:rsidP="000C64D4">
      <w:pPr>
        <w:pStyle w:val="Heading2"/>
      </w:pPr>
      <w:r>
        <w:t>Cost</w:t>
      </w:r>
    </w:p>
    <w:p w14:paraId="4C0747A3" w14:textId="29F8C7CA" w:rsidR="004C78E4" w:rsidRDefault="00072329" w:rsidP="0063020F">
      <w:pPr>
        <w:pStyle w:val="BodyText"/>
      </w:pPr>
      <w:r>
        <w:t xml:space="preserve">The total cost of services for the </w:t>
      </w:r>
      <w:r w:rsidR="00CC7F07">
        <w:t xml:space="preserve">current </w:t>
      </w:r>
      <w:r>
        <w:t xml:space="preserve">fiscal year [dates] is $xxx.xx. See </w:t>
      </w:r>
      <w:r w:rsidRPr="00072329">
        <w:rPr>
          <w:i/>
        </w:rPr>
        <w:t>Financial Impact</w:t>
      </w:r>
      <w:r>
        <w:t xml:space="preserve"> </w:t>
      </w:r>
      <w:r w:rsidR="00E30AEA">
        <w:t xml:space="preserve">[or </w:t>
      </w:r>
      <w:r w:rsidR="00AD4D53">
        <w:t xml:space="preserve">reference </w:t>
      </w:r>
      <w:r w:rsidR="00E30AEA">
        <w:t>an appendix]</w:t>
      </w:r>
      <w:r w:rsidR="00901F41">
        <w:t xml:space="preserve"> </w:t>
      </w:r>
      <w:r>
        <w:t xml:space="preserve">for detail. </w:t>
      </w:r>
    </w:p>
    <w:p w14:paraId="0FB72D03" w14:textId="2D724B10" w:rsidR="00096B3F" w:rsidRDefault="0063020F" w:rsidP="00C1752B">
      <w:pPr>
        <w:pStyle w:val="Heading1"/>
      </w:pPr>
      <w:r>
        <w:t>Service Details</w:t>
      </w:r>
    </w:p>
    <w:p w14:paraId="01BC8C76" w14:textId="72299EAB" w:rsidR="0063020F" w:rsidRPr="00F57D1C" w:rsidRDefault="0063020F" w:rsidP="0063020F">
      <w:pPr>
        <w:pStyle w:val="BodyText"/>
      </w:pPr>
      <w:r>
        <w:t xml:space="preserve">OIT supports the system components as listed above (see </w:t>
      </w:r>
      <w:r w:rsidRPr="003944D2">
        <w:rPr>
          <w:i/>
        </w:rPr>
        <w:t>Services and Support</w:t>
      </w:r>
      <w:r>
        <w:t>). [Add more detail here, e.g. number of servers</w:t>
      </w:r>
      <w:r w:rsidR="00E30AEA">
        <w:t>/app/database</w:t>
      </w:r>
      <w:r>
        <w:t xml:space="preserve">, or reference an </w:t>
      </w:r>
      <w:r w:rsidRPr="0063020F">
        <w:t>appendix.</w:t>
      </w:r>
      <w:r w:rsidR="003167B3">
        <w:t>]</w:t>
      </w:r>
    </w:p>
    <w:p w14:paraId="3965374D" w14:textId="30EFF7C7" w:rsidR="0063020F" w:rsidRPr="00841B97" w:rsidRDefault="0063020F" w:rsidP="0063020F">
      <w:pPr>
        <w:pStyle w:val="BodyText"/>
      </w:pPr>
      <w:r>
        <w:t xml:space="preserve">OIT is responsible for maintenance and support of all Duke network connectivity and switches, virtual servers, physical servers, and on-campus fiber optic and copper cable related to </w:t>
      </w:r>
      <w:r w:rsidR="003167B3">
        <w:t>[service name]</w:t>
      </w:r>
      <w:r>
        <w:t xml:space="preserve">. </w:t>
      </w:r>
    </w:p>
    <w:p w14:paraId="2EB5E4E0" w14:textId="4C181A5F" w:rsidR="00401CEB" w:rsidRDefault="00E82E48" w:rsidP="00401CEB">
      <w:pPr>
        <w:pStyle w:val="Heading2"/>
      </w:pPr>
      <w:r>
        <w:t>Exclusions</w:t>
      </w:r>
    </w:p>
    <w:p w14:paraId="5F975801" w14:textId="274CA728" w:rsidR="00E82E48" w:rsidRDefault="00E82E48" w:rsidP="00A34F2A">
      <w:pPr>
        <w:pStyle w:val="BodyText"/>
      </w:pPr>
      <w:r>
        <w:t xml:space="preserve">[State any services that are not </w:t>
      </w:r>
      <w:r w:rsidR="00587B07">
        <w:t>supported</w:t>
      </w:r>
      <w:r>
        <w:t xml:space="preserve"> under this agreement, especially services a customer </w:t>
      </w:r>
      <w:r w:rsidR="00685EC8">
        <w:t>might</w:t>
      </w:r>
      <w:r>
        <w:t xml:space="preserve"> assume are included, for example</w:t>
      </w:r>
      <w:r w:rsidR="00685EC8">
        <w:t>,</w:t>
      </w:r>
      <w:r>
        <w:t xml:space="preserve"> enhancements to databases or applications</w:t>
      </w:r>
      <w:r w:rsidR="00587B07">
        <w:t>, or services</w:t>
      </w:r>
      <w:r w:rsidR="00B7110F">
        <w:t>/support</w:t>
      </w:r>
      <w:r w:rsidR="00587B07">
        <w:t xml:space="preserve"> provided by a third party</w:t>
      </w:r>
      <w:r>
        <w:t>.]</w:t>
      </w:r>
    </w:p>
    <w:p w14:paraId="3BAC15D4" w14:textId="77777777" w:rsidR="00901F41" w:rsidRDefault="00901F41" w:rsidP="00901F41">
      <w:pPr>
        <w:pStyle w:val="Heading2"/>
      </w:pPr>
      <w:r>
        <w:t>OIT Monitoring and Support</w:t>
      </w:r>
    </w:p>
    <w:p w14:paraId="53CE40E7" w14:textId="7728EEEE" w:rsidR="00901F41" w:rsidRDefault="00901F41" w:rsidP="00901F41">
      <w:r>
        <w:t xml:space="preserve">OIT provides monitoring for </w:t>
      </w:r>
      <w:r w:rsidR="00B7110F">
        <w:t xml:space="preserve">OIT-hosted </w:t>
      </w:r>
      <w:r>
        <w:t>server operating systems and databases. [If customer requests additional monitoring of particular application services, state so</w:t>
      </w:r>
      <w:r w:rsidR="00AD4D53">
        <w:t xml:space="preserve"> here</w:t>
      </w:r>
      <w:r>
        <w:t xml:space="preserve">.] </w:t>
      </w:r>
    </w:p>
    <w:p w14:paraId="2A9CC46C" w14:textId="77777777" w:rsidR="00901F41" w:rsidRDefault="00901F41" w:rsidP="00901F41"/>
    <w:p w14:paraId="5B28294A" w14:textId="77777777" w:rsidR="00901F41" w:rsidRPr="00254DB4" w:rsidRDefault="00901F41" w:rsidP="00901F41">
      <w:pPr>
        <w:rPr>
          <w:u w:val="single"/>
        </w:rPr>
      </w:pPr>
      <w:r w:rsidRPr="00254DB4">
        <w:rPr>
          <w:u w:val="single"/>
        </w:rPr>
        <w:t>Service Operations Center</w:t>
      </w:r>
      <w:r>
        <w:rPr>
          <w:u w:val="single"/>
        </w:rPr>
        <w:t xml:space="preserve"> (SOC) and Systems Infrastructure (SI) Support</w:t>
      </w:r>
    </w:p>
    <w:p w14:paraId="2EC4F5B8" w14:textId="1F104380" w:rsidR="00901F41" w:rsidRDefault="00901F41" w:rsidP="00901F41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The OIT Service Operations Center (SOC) performs 24 x 7 monitori</w:t>
      </w:r>
      <w:r w:rsidR="00B7110F">
        <w:rPr>
          <w:rFonts w:asciiTheme="majorHAnsi" w:hAnsiTheme="majorHAnsi"/>
          <w:szCs w:val="20"/>
        </w:rPr>
        <w:t>ng of the OS for all of service</w:t>
      </w:r>
      <w:r w:rsidR="00AD4D53">
        <w:rPr>
          <w:rFonts w:asciiTheme="majorHAnsi" w:hAnsiTheme="majorHAnsi"/>
          <w:szCs w:val="20"/>
        </w:rPr>
        <w:t>-related servers [reference</w:t>
      </w:r>
      <w:r>
        <w:rPr>
          <w:rFonts w:asciiTheme="majorHAnsi" w:hAnsiTheme="majorHAnsi"/>
          <w:szCs w:val="20"/>
        </w:rPr>
        <w:t xml:space="preserve"> </w:t>
      </w:r>
      <w:r w:rsidR="00B7110F">
        <w:rPr>
          <w:rFonts w:asciiTheme="majorHAnsi" w:hAnsiTheme="majorHAnsi"/>
          <w:szCs w:val="20"/>
        </w:rPr>
        <w:t>an a</w:t>
      </w:r>
      <w:r w:rsidRPr="00901F41">
        <w:rPr>
          <w:rFonts w:asciiTheme="majorHAnsi" w:hAnsiTheme="majorHAnsi"/>
          <w:szCs w:val="20"/>
        </w:rPr>
        <w:t>ppendix</w:t>
      </w:r>
      <w:r w:rsidR="00AD4D53">
        <w:rPr>
          <w:rFonts w:asciiTheme="majorHAnsi" w:hAnsiTheme="majorHAnsi"/>
          <w:szCs w:val="20"/>
        </w:rPr>
        <w:t xml:space="preserve"> if applicable]</w:t>
      </w:r>
      <w:r>
        <w:rPr>
          <w:rFonts w:asciiTheme="majorHAnsi" w:hAnsiTheme="majorHAnsi"/>
          <w:szCs w:val="20"/>
        </w:rPr>
        <w:t xml:space="preserve">. Monitoring details can be found in the Service Book at [URL]. The SOC will notify the service owner [email address] of any alarms/alerts received on the servers. </w:t>
      </w:r>
      <w:r>
        <w:rPr>
          <w:rFonts w:asciiTheme="majorHAnsi" w:hAnsiTheme="majorHAnsi"/>
          <w:szCs w:val="20"/>
        </w:rPr>
        <w:lastRenderedPageBreak/>
        <w:t xml:space="preserve">If unable to resolve an OS-related issue, the SOC may assign it to the Systems Infrastructure (SI) team for resolution. SI will respond to issues on servers that it supports 24 x 7 accordingly. </w:t>
      </w:r>
    </w:p>
    <w:p w14:paraId="551354A8" w14:textId="77777777" w:rsidR="00901F41" w:rsidRDefault="00901F41" w:rsidP="00901F41">
      <w:pPr>
        <w:rPr>
          <w:rFonts w:asciiTheme="majorHAnsi" w:hAnsiTheme="majorHAnsi"/>
          <w:szCs w:val="20"/>
        </w:rPr>
      </w:pPr>
    </w:p>
    <w:p w14:paraId="61A38F70" w14:textId="6284E34F" w:rsidR="00901F41" w:rsidRDefault="00901F41" w:rsidP="00901F41">
      <w:pPr>
        <w:widowControl w:val="0"/>
        <w:autoSpaceDE w:val="0"/>
        <w:autoSpaceDN w:val="0"/>
        <w:adjustRightInd w:val="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[If the SOC is monitoring any application services, list them here.] The application servers have the following </w:t>
      </w:r>
      <w:r w:rsidRPr="00D3414D">
        <w:rPr>
          <w:rFonts w:asciiTheme="majorHAnsi" w:hAnsiTheme="majorHAnsi"/>
          <w:szCs w:val="20"/>
        </w:rPr>
        <w:t xml:space="preserve">services </w:t>
      </w:r>
      <w:r>
        <w:rPr>
          <w:rFonts w:asciiTheme="majorHAnsi" w:hAnsiTheme="majorHAnsi"/>
          <w:szCs w:val="20"/>
        </w:rPr>
        <w:t xml:space="preserve">monitored: </w:t>
      </w:r>
    </w:p>
    <w:p w14:paraId="5AC2B6CB" w14:textId="77777777" w:rsidR="00901F41" w:rsidRPr="00D3414D" w:rsidRDefault="00901F41" w:rsidP="00901F41">
      <w:pPr>
        <w:widowControl w:val="0"/>
        <w:autoSpaceDE w:val="0"/>
        <w:autoSpaceDN w:val="0"/>
        <w:adjustRightInd w:val="0"/>
        <w:rPr>
          <w:rFonts w:asciiTheme="majorHAnsi" w:hAnsiTheme="majorHAnsi"/>
          <w:szCs w:val="20"/>
        </w:rPr>
      </w:pPr>
    </w:p>
    <w:p w14:paraId="7AEB744A" w14:textId="23D6DCA9" w:rsidR="00901F41" w:rsidRPr="00901F41" w:rsidRDefault="00901F41" w:rsidP="00901F4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[Service 1]</w:t>
      </w:r>
    </w:p>
    <w:p w14:paraId="35D94653" w14:textId="588F91B6" w:rsidR="00901F41" w:rsidRPr="00901F41" w:rsidRDefault="00901F41" w:rsidP="00901F4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ind w:left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[Service 2]</w:t>
      </w:r>
    </w:p>
    <w:p w14:paraId="6B6BB956" w14:textId="77777777" w:rsidR="00901F41" w:rsidRPr="00901F41" w:rsidRDefault="00901F41" w:rsidP="00901F41">
      <w:pPr>
        <w:widowControl w:val="0"/>
        <w:autoSpaceDE w:val="0"/>
        <w:autoSpaceDN w:val="0"/>
        <w:adjustRightInd w:val="0"/>
        <w:rPr>
          <w:rFonts w:asciiTheme="majorHAnsi" w:hAnsiTheme="majorHAnsi"/>
          <w:szCs w:val="20"/>
        </w:rPr>
      </w:pPr>
    </w:p>
    <w:p w14:paraId="54B194F3" w14:textId="06E410F6" w:rsidR="00901F41" w:rsidRDefault="00901F41" w:rsidP="00901F41">
      <w:pPr>
        <w:rPr>
          <w:rFonts w:asciiTheme="majorHAnsi" w:hAnsiTheme="majorHAnsi"/>
          <w:szCs w:val="20"/>
        </w:rPr>
      </w:pPr>
      <w:r w:rsidRPr="00901F41">
        <w:rPr>
          <w:rFonts w:asciiTheme="majorHAnsi" w:hAnsiTheme="majorHAnsi"/>
          <w:szCs w:val="20"/>
        </w:rPr>
        <w:t xml:space="preserve">In case of an alarm on these services, the SOC will notify </w:t>
      </w:r>
      <w:r>
        <w:rPr>
          <w:rFonts w:asciiTheme="majorHAnsi" w:hAnsiTheme="majorHAnsi"/>
          <w:szCs w:val="20"/>
        </w:rPr>
        <w:t>the service owner</w:t>
      </w:r>
      <w:r w:rsidRPr="00901F41">
        <w:rPr>
          <w:rFonts w:asciiTheme="majorHAnsi" w:hAnsiTheme="majorHAnsi"/>
          <w:szCs w:val="20"/>
        </w:rPr>
        <w:t xml:space="preserve"> and restart the service.</w:t>
      </w:r>
    </w:p>
    <w:p w14:paraId="7EC878B4" w14:textId="77777777" w:rsidR="008A1905" w:rsidRDefault="008A1905" w:rsidP="00901F41">
      <w:pPr>
        <w:rPr>
          <w:rFonts w:asciiTheme="majorHAnsi" w:hAnsiTheme="majorHAnsi"/>
          <w:szCs w:val="20"/>
        </w:rPr>
      </w:pPr>
    </w:p>
    <w:p w14:paraId="7CF01AB1" w14:textId="77777777" w:rsidR="008A1905" w:rsidRPr="00753116" w:rsidRDefault="008A1905" w:rsidP="008A1905">
      <w:pPr>
        <w:rPr>
          <w:rFonts w:asciiTheme="majorHAnsi" w:hAnsiTheme="majorHAnsi"/>
          <w:szCs w:val="20"/>
          <w:u w:val="single"/>
        </w:rPr>
      </w:pPr>
      <w:r w:rsidRPr="00753116">
        <w:rPr>
          <w:rFonts w:asciiTheme="majorHAnsi" w:hAnsiTheme="majorHAnsi"/>
          <w:szCs w:val="20"/>
          <w:u w:val="single"/>
        </w:rPr>
        <w:t xml:space="preserve">Database </w:t>
      </w:r>
      <w:r>
        <w:rPr>
          <w:rFonts w:asciiTheme="majorHAnsi" w:hAnsiTheme="majorHAnsi"/>
          <w:szCs w:val="20"/>
          <w:u w:val="single"/>
        </w:rPr>
        <w:t xml:space="preserve">Services (DS) </w:t>
      </w:r>
      <w:r w:rsidRPr="00753116">
        <w:rPr>
          <w:rFonts w:asciiTheme="majorHAnsi" w:hAnsiTheme="majorHAnsi"/>
          <w:szCs w:val="20"/>
          <w:u w:val="single"/>
        </w:rPr>
        <w:t>Monitoring</w:t>
      </w:r>
    </w:p>
    <w:p w14:paraId="6BCB9A6C" w14:textId="40DAAE05" w:rsidR="008A1905" w:rsidRPr="00901F41" w:rsidRDefault="008A1905" w:rsidP="00901F41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OIT’s Database Services </w:t>
      </w:r>
      <w:r w:rsidRPr="00ED21C3">
        <w:rPr>
          <w:rFonts w:asciiTheme="majorHAnsi" w:hAnsiTheme="majorHAnsi"/>
          <w:szCs w:val="20"/>
        </w:rPr>
        <w:t xml:space="preserve">uses Oracle Enterprise Manager </w:t>
      </w:r>
      <w:r>
        <w:rPr>
          <w:rFonts w:asciiTheme="majorHAnsi" w:hAnsiTheme="majorHAnsi"/>
          <w:szCs w:val="20"/>
        </w:rPr>
        <w:t xml:space="preserve">(OEM) to monitor the service database. OEM sends alerts </w:t>
      </w:r>
      <w:r w:rsidRPr="00ED21C3">
        <w:rPr>
          <w:rFonts w:asciiTheme="majorHAnsi" w:hAnsiTheme="majorHAnsi"/>
          <w:szCs w:val="20"/>
        </w:rPr>
        <w:t xml:space="preserve">to the </w:t>
      </w:r>
      <w:r>
        <w:rPr>
          <w:rFonts w:asciiTheme="majorHAnsi" w:hAnsiTheme="majorHAnsi"/>
          <w:szCs w:val="20"/>
        </w:rPr>
        <w:t xml:space="preserve">database administrators’ (DBA) </w:t>
      </w:r>
      <w:r w:rsidRPr="00ED21C3">
        <w:rPr>
          <w:rFonts w:asciiTheme="majorHAnsi" w:hAnsiTheme="majorHAnsi"/>
          <w:szCs w:val="20"/>
        </w:rPr>
        <w:t>team via e-m</w:t>
      </w:r>
      <w:r>
        <w:rPr>
          <w:rFonts w:asciiTheme="majorHAnsi" w:hAnsiTheme="majorHAnsi"/>
          <w:szCs w:val="20"/>
        </w:rPr>
        <w:t>ail. After hours, OEM sends SMS message alerts to the DBA on call.</w:t>
      </w:r>
    </w:p>
    <w:p w14:paraId="1C6CA6E3" w14:textId="77777777" w:rsidR="0067659E" w:rsidRDefault="0067659E" w:rsidP="0067659E">
      <w:pPr>
        <w:pStyle w:val="Heading1"/>
      </w:pPr>
      <w:r>
        <w:t>Third Party Support</w:t>
      </w:r>
    </w:p>
    <w:p w14:paraId="0F4B1980" w14:textId="77777777" w:rsidR="0067659E" w:rsidRPr="00587B07" w:rsidRDefault="0067659E" w:rsidP="0067659E">
      <w:pPr>
        <w:pStyle w:val="BodyText"/>
        <w:rPr>
          <w:highlight w:val="yellow"/>
        </w:rPr>
      </w:pPr>
      <w:r>
        <w:t xml:space="preserve">[If a third party application or service is associated with the OIT service provided, describe how/whether the customer should/should not interact with the provider; otherwise, omit this section and make mention of the third party support in the </w:t>
      </w:r>
      <w:r w:rsidRPr="007A2C71">
        <w:rPr>
          <w:i/>
        </w:rPr>
        <w:t>Exclusions</w:t>
      </w:r>
      <w:r>
        <w:t xml:space="preserve"> section, above. Describe the relationship between OIT and the provider, if any. Provide contact information for the provider if appropriate.] </w:t>
      </w:r>
    </w:p>
    <w:p w14:paraId="7BC9AEFD" w14:textId="41AABA21" w:rsidR="00A80CB2" w:rsidRDefault="00A80CB2" w:rsidP="00A80CB2">
      <w:pPr>
        <w:pStyle w:val="Heading1"/>
      </w:pPr>
      <w:r>
        <w:t>Reporting Issues</w:t>
      </w:r>
    </w:p>
    <w:p w14:paraId="293DC491" w14:textId="64494A34" w:rsidR="00A80CB2" w:rsidRPr="00B7110F" w:rsidRDefault="00B7110F" w:rsidP="00A80CB2">
      <w:r w:rsidRPr="00B7110F">
        <w:t>[</w:t>
      </w:r>
      <w:r w:rsidR="00A80CB2" w:rsidRPr="00B7110F">
        <w:t xml:space="preserve">Note: Some customers may have ITIL privileges in Support@Duke that allow them to submit detailed incidents and be assigned to them. Depending on the customer’s privileges, use either the </w:t>
      </w:r>
      <w:r w:rsidR="00A80CB2" w:rsidRPr="00B7110F">
        <w:rPr>
          <w:color w:val="008000"/>
        </w:rPr>
        <w:t>green</w:t>
      </w:r>
      <w:r w:rsidR="00A80CB2" w:rsidRPr="00B7110F">
        <w:t xml:space="preserve"> or </w:t>
      </w:r>
      <w:r w:rsidR="00A80CB2" w:rsidRPr="00B7110F">
        <w:rPr>
          <w:color w:val="0000FF"/>
        </w:rPr>
        <w:t>blue</w:t>
      </w:r>
      <w:r w:rsidR="00A80CB2" w:rsidRPr="00B7110F">
        <w:t xml:space="preserve"> language below.</w:t>
      </w:r>
      <w:r w:rsidRPr="00B7110F">
        <w:t>]</w:t>
      </w:r>
    </w:p>
    <w:p w14:paraId="4DB35A74" w14:textId="77777777" w:rsidR="00A80CB2" w:rsidRPr="00A80CB2" w:rsidRDefault="00A80CB2" w:rsidP="00A80CB2"/>
    <w:p w14:paraId="72E33E65" w14:textId="655B2A62" w:rsidR="00CE356E" w:rsidRPr="00A80CB2" w:rsidRDefault="00CE356E" w:rsidP="00CE356E">
      <w:pPr>
        <w:pStyle w:val="BodyText"/>
        <w:rPr>
          <w:color w:val="008000"/>
        </w:rPr>
      </w:pPr>
      <w:r w:rsidRPr="00A80CB2">
        <w:rPr>
          <w:color w:val="008000"/>
        </w:rPr>
        <w:t xml:space="preserve">[If the customer </w:t>
      </w:r>
      <w:r w:rsidRPr="00A80CB2">
        <w:rPr>
          <w:b/>
          <w:color w:val="008000"/>
        </w:rPr>
        <w:t>does not have</w:t>
      </w:r>
      <w:r w:rsidRPr="00A80CB2">
        <w:rPr>
          <w:color w:val="008000"/>
        </w:rPr>
        <w:t xml:space="preserve"> </w:t>
      </w:r>
      <w:r w:rsidRPr="00A80CB2">
        <w:rPr>
          <w:b/>
          <w:color w:val="008000"/>
        </w:rPr>
        <w:t>a Support@Duke Assignment Group</w:t>
      </w:r>
      <w:r w:rsidRPr="00A80CB2">
        <w:rPr>
          <w:color w:val="008000"/>
        </w:rPr>
        <w:t xml:space="preserve"> </w:t>
      </w:r>
      <w:r w:rsidR="001323F9">
        <w:rPr>
          <w:color w:val="008000"/>
        </w:rPr>
        <w:t>comprised of</w:t>
      </w:r>
      <w:r w:rsidRPr="00A80CB2">
        <w:rPr>
          <w:color w:val="008000"/>
        </w:rPr>
        <w:t xml:space="preserve"> ITIL user</w:t>
      </w:r>
      <w:r w:rsidR="001323F9">
        <w:rPr>
          <w:color w:val="008000"/>
        </w:rPr>
        <w:t>s</w:t>
      </w:r>
      <w:r w:rsidRPr="00A80CB2">
        <w:rPr>
          <w:color w:val="008000"/>
        </w:rPr>
        <w:t xml:space="preserve">, use </w:t>
      </w:r>
      <w:r w:rsidR="00FA2AE0">
        <w:rPr>
          <w:color w:val="008000"/>
        </w:rPr>
        <w:t xml:space="preserve">green </w:t>
      </w:r>
      <w:r w:rsidRPr="00A80CB2">
        <w:rPr>
          <w:color w:val="008000"/>
        </w:rPr>
        <w:t xml:space="preserve">sample language:] </w:t>
      </w:r>
    </w:p>
    <w:p w14:paraId="3593B1E2" w14:textId="4B46C6C4" w:rsidR="00FA2AE0" w:rsidRPr="00F77292" w:rsidRDefault="00FA2AE0" w:rsidP="00FA2AE0">
      <w:pPr>
        <w:pStyle w:val="BodyText"/>
        <w:rPr>
          <w:color w:val="008000"/>
        </w:rPr>
      </w:pPr>
      <w:r w:rsidRPr="00F77292">
        <w:rPr>
          <w:color w:val="008000"/>
        </w:rPr>
        <w:t>Before reporting an issue to OIT, customer should rule out issues with system components under their control (if any). Once reported, OIT and customer may collaborate to resolve an issue.</w:t>
      </w:r>
    </w:p>
    <w:p w14:paraId="2BC993B5" w14:textId="14EA1500" w:rsidR="00EE5190" w:rsidRPr="00A80CB2" w:rsidRDefault="00EE5190" w:rsidP="00FA2AE0">
      <w:pPr>
        <w:pStyle w:val="BodyText"/>
        <w:rPr>
          <w:color w:val="0000FF"/>
        </w:rPr>
      </w:pPr>
      <w:r w:rsidRPr="00A80CB2">
        <w:rPr>
          <w:color w:val="0000FF"/>
        </w:rPr>
        <w:t xml:space="preserve">[If the customer </w:t>
      </w:r>
      <w:r w:rsidRPr="00A80CB2">
        <w:rPr>
          <w:b/>
          <w:color w:val="0000FF"/>
        </w:rPr>
        <w:t>has a Support@Duke Assignment Group</w:t>
      </w:r>
      <w:r w:rsidRPr="00A80CB2">
        <w:rPr>
          <w:color w:val="0000FF"/>
        </w:rPr>
        <w:t xml:space="preserve"> </w:t>
      </w:r>
      <w:r w:rsidR="001323F9">
        <w:rPr>
          <w:color w:val="0000FF"/>
        </w:rPr>
        <w:t xml:space="preserve">comprised of </w:t>
      </w:r>
      <w:r w:rsidRPr="00A80CB2">
        <w:rPr>
          <w:color w:val="0000FF"/>
        </w:rPr>
        <w:t>ITIL user</w:t>
      </w:r>
      <w:r w:rsidR="001323F9">
        <w:rPr>
          <w:color w:val="0000FF"/>
        </w:rPr>
        <w:t>s</w:t>
      </w:r>
      <w:r w:rsidRPr="00A80CB2">
        <w:rPr>
          <w:color w:val="0000FF"/>
        </w:rPr>
        <w:t xml:space="preserve">, use </w:t>
      </w:r>
      <w:r w:rsidR="00FA2AE0">
        <w:rPr>
          <w:color w:val="0000FF"/>
        </w:rPr>
        <w:t xml:space="preserve">blue </w:t>
      </w:r>
      <w:r w:rsidRPr="00A80CB2">
        <w:rPr>
          <w:color w:val="0000FF"/>
        </w:rPr>
        <w:t xml:space="preserve">sample language:] </w:t>
      </w:r>
    </w:p>
    <w:p w14:paraId="5504EA2C" w14:textId="73346721" w:rsidR="00EE5190" w:rsidRPr="00A80CB2" w:rsidRDefault="00EE5190" w:rsidP="00EE5190">
      <w:pPr>
        <w:pStyle w:val="BodyText"/>
        <w:rPr>
          <w:rFonts w:asciiTheme="majorHAnsi" w:hAnsiTheme="majorHAnsi"/>
          <w:color w:val="0000FF"/>
        </w:rPr>
      </w:pPr>
      <w:r w:rsidRPr="00A80CB2">
        <w:rPr>
          <w:color w:val="0000FF"/>
        </w:rPr>
        <w:t xml:space="preserve">Customer/service owner] has enhanced (“ITIL-user”) privileges in Support@Duke, allowing them to submit detailed incidents and requests to OIT. </w:t>
      </w:r>
      <w:r w:rsidR="00981C5C" w:rsidRPr="00A80CB2">
        <w:rPr>
          <w:color w:val="0000FF"/>
        </w:rPr>
        <w:t>The</w:t>
      </w:r>
      <w:r w:rsidRPr="00A80CB2">
        <w:rPr>
          <w:color w:val="0000FF"/>
        </w:rPr>
        <w:t xml:space="preserve"> Support@Duke group is [group name]. </w:t>
      </w:r>
      <w:r w:rsidR="00981C5C" w:rsidRPr="00A80CB2">
        <w:rPr>
          <w:color w:val="0000FF"/>
        </w:rPr>
        <w:t xml:space="preserve">As necessary, </w:t>
      </w:r>
      <w:r w:rsidRPr="00A80CB2">
        <w:rPr>
          <w:color w:val="0000FF"/>
        </w:rPr>
        <w:t xml:space="preserve">OIT will assign incidents to this group for resolution. </w:t>
      </w:r>
      <w:r w:rsidR="00981C5C" w:rsidRPr="00A80CB2">
        <w:rPr>
          <w:rFonts w:asciiTheme="majorHAnsi" w:hAnsiTheme="majorHAnsi"/>
          <w:color w:val="0000FF"/>
        </w:rPr>
        <w:t>Customer</w:t>
      </w:r>
      <w:r w:rsidRPr="00A80CB2">
        <w:rPr>
          <w:rFonts w:asciiTheme="majorHAnsi" w:hAnsiTheme="majorHAnsi"/>
          <w:color w:val="0000FF"/>
        </w:rPr>
        <w:t xml:space="preserve"> will monitor their Support@Duke queue and help resolve issues according to this SLA. If desired, OIT will provide Support@Duke training to </w:t>
      </w:r>
      <w:r w:rsidR="00981C5C" w:rsidRPr="00A80CB2">
        <w:rPr>
          <w:rFonts w:asciiTheme="majorHAnsi" w:hAnsiTheme="majorHAnsi"/>
          <w:color w:val="0000FF"/>
        </w:rPr>
        <w:t>customer</w:t>
      </w:r>
      <w:r w:rsidRPr="00A80CB2">
        <w:rPr>
          <w:rFonts w:asciiTheme="majorHAnsi" w:hAnsiTheme="majorHAnsi"/>
          <w:color w:val="0000FF"/>
        </w:rPr>
        <w:t xml:space="preserve"> at no charge.</w:t>
      </w:r>
    </w:p>
    <w:p w14:paraId="4489FE60" w14:textId="77777777" w:rsidR="00A037DD" w:rsidRDefault="00A037DD" w:rsidP="00A037DD">
      <w:pPr>
        <w:pStyle w:val="Heading2"/>
      </w:pPr>
      <w:r>
        <w:t>During Business Hours</w:t>
      </w:r>
    </w:p>
    <w:p w14:paraId="68A47816" w14:textId="566B8122" w:rsidR="00A037DD" w:rsidRDefault="00A037DD" w:rsidP="00A037DD">
      <w:pPr>
        <w:pStyle w:val="BodyText"/>
      </w:pPr>
      <w:r>
        <w:t xml:space="preserve">During normal business hours (8am-5pm, M-F), if </w:t>
      </w:r>
      <w:r w:rsidR="005E347E">
        <w:t>the customer</w:t>
      </w:r>
      <w:r>
        <w:t xml:space="preserve"> experiences an issue and has taken steps to rule out root cause</w:t>
      </w:r>
      <w:r w:rsidR="00A80CB2">
        <w:t>s under their control</w:t>
      </w:r>
      <w:r>
        <w:t>, they should report the incident to OIT, indicating that appropriate measures have been taken to identify the issue. Issues may be reported using the methods below.</w:t>
      </w:r>
    </w:p>
    <w:p w14:paraId="089FD0F1" w14:textId="77777777" w:rsidR="00A037DD" w:rsidRDefault="00A037DD" w:rsidP="00B7110F">
      <w:pPr>
        <w:pStyle w:val="BodyText"/>
        <w:ind w:left="360"/>
        <w:rPr>
          <w:u w:val="single"/>
        </w:rPr>
      </w:pPr>
      <w:r w:rsidRPr="00417322">
        <w:rPr>
          <w:u w:val="single"/>
        </w:rPr>
        <w:t>For non-urgent issues</w:t>
      </w:r>
      <w:r>
        <w:rPr>
          <w:u w:val="single"/>
        </w:rPr>
        <w:t xml:space="preserve"> (OIT response within 8 hours of reported issue)</w:t>
      </w:r>
      <w:r w:rsidRPr="00417322">
        <w:rPr>
          <w:u w:val="single"/>
        </w:rPr>
        <w:t>:</w:t>
      </w:r>
    </w:p>
    <w:p w14:paraId="4A31BC6F" w14:textId="77777777" w:rsidR="00164828" w:rsidRPr="00654B79" w:rsidRDefault="00164828" w:rsidP="00164828">
      <w:pPr>
        <w:pStyle w:val="BodyText"/>
        <w:numPr>
          <w:ilvl w:val="0"/>
          <w:numId w:val="29"/>
        </w:numPr>
        <w:spacing w:after="0"/>
        <w:rPr>
          <w:color w:val="008000"/>
        </w:rPr>
      </w:pPr>
      <w:r w:rsidRPr="00164828">
        <w:rPr>
          <w:b/>
          <w:color w:val="008000"/>
        </w:rPr>
        <w:t>Create a ticket</w:t>
      </w:r>
      <w:r w:rsidRPr="00164828">
        <w:rPr>
          <w:color w:val="008000"/>
        </w:rPr>
        <w:t xml:space="preserve"> in Support@Duke. Visit </w:t>
      </w:r>
      <w:hyperlink r:id="rId9" w:history="1">
        <w:r w:rsidRPr="00164828">
          <w:rPr>
            <w:rStyle w:val="Hyperlink"/>
            <w:color w:val="008000"/>
          </w:rPr>
          <w:t>https://duke.service-now.com</w:t>
        </w:r>
      </w:hyperlink>
      <w:r w:rsidRPr="00164828">
        <w:rPr>
          <w:color w:val="008000"/>
        </w:rPr>
        <w:t xml:space="preserve">. Under </w:t>
      </w:r>
      <w:r w:rsidRPr="00164828">
        <w:rPr>
          <w:i/>
          <w:color w:val="008000"/>
        </w:rPr>
        <w:t>Can We Help You?</w:t>
      </w:r>
      <w:r w:rsidRPr="00164828">
        <w:rPr>
          <w:color w:val="008000"/>
        </w:rPr>
        <w:t xml:space="preserve"> Click </w:t>
      </w:r>
      <w:r w:rsidRPr="00164828">
        <w:rPr>
          <w:i/>
          <w:color w:val="008000"/>
        </w:rPr>
        <w:t>Create a New Incident.</w:t>
      </w:r>
      <w:r w:rsidRPr="00164828">
        <w:rPr>
          <w:color w:val="008000"/>
        </w:rPr>
        <w:t xml:space="preserve"> Under </w:t>
      </w:r>
      <w:r w:rsidRPr="00164828">
        <w:rPr>
          <w:i/>
          <w:color w:val="008000"/>
        </w:rPr>
        <w:t>Urgency,</w:t>
      </w:r>
      <w:r w:rsidRPr="00164828">
        <w:rPr>
          <w:color w:val="008000"/>
        </w:rPr>
        <w:t xml:space="preserve"> select the appropriate level (Low, Medium, High). In the </w:t>
      </w:r>
      <w:r w:rsidRPr="00164828">
        <w:rPr>
          <w:i/>
          <w:color w:val="008000"/>
        </w:rPr>
        <w:t>Details</w:t>
      </w:r>
      <w:r w:rsidRPr="00164828">
        <w:rPr>
          <w:color w:val="008000"/>
        </w:rPr>
        <w:t xml:space="preserve"> box, describe the issue and request that the ticket be assigned to the group </w:t>
      </w:r>
      <w:r w:rsidRPr="00164828">
        <w:rPr>
          <w:i/>
          <w:color w:val="008000"/>
        </w:rPr>
        <w:t>Systems-Dept. Applications-OIT.</w:t>
      </w:r>
    </w:p>
    <w:p w14:paraId="22928954" w14:textId="1E2E006A" w:rsidR="00654B79" w:rsidRPr="00654B79" w:rsidRDefault="00654B79" w:rsidP="00654B79">
      <w:pPr>
        <w:pStyle w:val="BodyText"/>
        <w:numPr>
          <w:ilvl w:val="0"/>
          <w:numId w:val="29"/>
        </w:numPr>
        <w:spacing w:after="0"/>
        <w:rPr>
          <w:color w:val="008000"/>
        </w:rPr>
      </w:pPr>
      <w:r w:rsidRPr="00654B79">
        <w:rPr>
          <w:b/>
          <w:color w:val="008000"/>
        </w:rPr>
        <w:lastRenderedPageBreak/>
        <w:t>Call the OIT Service Desk</w:t>
      </w:r>
      <w:r w:rsidRPr="00654B79">
        <w:rPr>
          <w:color w:val="008000"/>
        </w:rPr>
        <w:t xml:space="preserve"> at 919-684-2200; the Service Desk will create an incident in Support@Duke.</w:t>
      </w:r>
    </w:p>
    <w:p w14:paraId="7116CFA7" w14:textId="5A7FA0F9" w:rsidR="00164828" w:rsidRPr="00164828" w:rsidRDefault="00164828" w:rsidP="00164828">
      <w:pPr>
        <w:pStyle w:val="BodyText"/>
        <w:numPr>
          <w:ilvl w:val="0"/>
          <w:numId w:val="29"/>
        </w:numPr>
        <w:spacing w:after="0"/>
        <w:rPr>
          <w:color w:val="008000"/>
        </w:rPr>
      </w:pPr>
      <w:r w:rsidRPr="00164828">
        <w:rPr>
          <w:b/>
          <w:color w:val="008000"/>
        </w:rPr>
        <w:t xml:space="preserve">Send email to </w:t>
      </w:r>
      <w:hyperlink r:id="rId10" w:history="1">
        <w:r w:rsidRPr="00164828">
          <w:rPr>
            <w:rStyle w:val="Hyperlink"/>
            <w:b/>
            <w:color w:val="008000"/>
          </w:rPr>
          <w:t>help@oit.duke.edu</w:t>
        </w:r>
      </w:hyperlink>
      <w:r w:rsidRPr="00164828">
        <w:rPr>
          <w:color w:val="008000"/>
        </w:rPr>
        <w:t>. The email will automatically create a ticket containing the contents of the email.</w:t>
      </w:r>
      <w:r>
        <w:rPr>
          <w:color w:val="008000"/>
        </w:rPr>
        <w:t xml:space="preserve"> If you know which support group the ticket should be assigned to, indicate this in the email. </w:t>
      </w:r>
    </w:p>
    <w:p w14:paraId="532A5C33" w14:textId="77777777" w:rsidR="00FA2AE0" w:rsidRDefault="00FA2AE0" w:rsidP="00FD5901">
      <w:pPr>
        <w:pStyle w:val="BodyText"/>
        <w:spacing w:after="0"/>
        <w:ind w:left="403"/>
        <w:rPr>
          <w:b/>
        </w:rPr>
      </w:pPr>
    </w:p>
    <w:p w14:paraId="7795D5A3" w14:textId="75442AC9" w:rsidR="00164828" w:rsidRPr="00164828" w:rsidRDefault="00164828" w:rsidP="00A037DD">
      <w:pPr>
        <w:pStyle w:val="BodyText"/>
        <w:ind w:left="403"/>
        <w:rPr>
          <w:b/>
        </w:rPr>
      </w:pPr>
      <w:r w:rsidRPr="00164828">
        <w:rPr>
          <w:b/>
        </w:rPr>
        <w:t>OR</w:t>
      </w:r>
      <w:r w:rsidR="00FA2AE0">
        <w:rPr>
          <w:b/>
        </w:rPr>
        <w:t>:</w:t>
      </w:r>
    </w:p>
    <w:p w14:paraId="761F6512" w14:textId="13FC0786" w:rsidR="00A037DD" w:rsidRPr="00A80CB2" w:rsidRDefault="00A037DD" w:rsidP="00A037DD">
      <w:pPr>
        <w:pStyle w:val="BodyText"/>
        <w:numPr>
          <w:ilvl w:val="0"/>
          <w:numId w:val="28"/>
        </w:numPr>
        <w:spacing w:after="0"/>
        <w:ind w:left="763"/>
        <w:rPr>
          <w:color w:val="0000FF"/>
        </w:rPr>
      </w:pPr>
      <w:r w:rsidRPr="00654B79">
        <w:rPr>
          <w:b/>
          <w:color w:val="0000FF"/>
        </w:rPr>
        <w:t>Visit Support@Duke</w:t>
      </w:r>
      <w:r w:rsidRPr="00A80CB2">
        <w:rPr>
          <w:color w:val="0000FF"/>
        </w:rPr>
        <w:t xml:space="preserve"> (</w:t>
      </w:r>
      <w:hyperlink r:id="rId11" w:history="1">
        <w:r w:rsidRPr="00A80CB2">
          <w:rPr>
            <w:rStyle w:val="Hyperlink"/>
          </w:rPr>
          <w:t>https://duke.service-now.com</w:t>
        </w:r>
      </w:hyperlink>
      <w:r w:rsidRPr="00A80CB2">
        <w:rPr>
          <w:color w:val="0000FF"/>
        </w:rPr>
        <w:t>) and create a new incident.</w:t>
      </w:r>
      <w:r w:rsidR="00A80CB2" w:rsidRPr="00A80CB2">
        <w:rPr>
          <w:color w:val="0000FF"/>
        </w:rPr>
        <w:t xml:space="preserve"> If the customer is not sure of the group to assign the incident to, the </w:t>
      </w:r>
      <w:r w:rsidR="00A80CB2" w:rsidRPr="00A80CB2">
        <w:rPr>
          <w:i/>
          <w:color w:val="0000FF"/>
        </w:rPr>
        <w:t>Service Desk-OIT</w:t>
      </w:r>
      <w:r w:rsidR="00A80CB2" w:rsidRPr="00A80CB2">
        <w:rPr>
          <w:color w:val="0000FF"/>
        </w:rPr>
        <w:t xml:space="preserve"> group should be used as a default.</w:t>
      </w:r>
    </w:p>
    <w:p w14:paraId="2D75543C" w14:textId="77777777" w:rsidR="00A037DD" w:rsidRPr="00654B79" w:rsidRDefault="00A037DD" w:rsidP="00A037DD">
      <w:pPr>
        <w:pStyle w:val="BodyText"/>
        <w:numPr>
          <w:ilvl w:val="0"/>
          <w:numId w:val="28"/>
        </w:numPr>
        <w:spacing w:after="0"/>
        <w:ind w:left="763"/>
        <w:rPr>
          <w:color w:val="0000FF"/>
        </w:rPr>
      </w:pPr>
      <w:r w:rsidRPr="00654B79">
        <w:rPr>
          <w:b/>
          <w:color w:val="0000FF"/>
        </w:rPr>
        <w:t>Call the OIT Service Desk</w:t>
      </w:r>
      <w:r w:rsidRPr="00654B79">
        <w:rPr>
          <w:color w:val="0000FF"/>
        </w:rPr>
        <w:t xml:space="preserve"> at 919-684-2200; the Service Desk will create an incident in Support@Duke.</w:t>
      </w:r>
    </w:p>
    <w:p w14:paraId="32CB78C5" w14:textId="77777777" w:rsidR="00164828" w:rsidRPr="00164828" w:rsidRDefault="00164828" w:rsidP="00164828">
      <w:pPr>
        <w:pStyle w:val="BodyText"/>
        <w:numPr>
          <w:ilvl w:val="0"/>
          <w:numId w:val="28"/>
        </w:numPr>
        <w:spacing w:after="0"/>
        <w:rPr>
          <w:color w:val="0000FF"/>
        </w:rPr>
      </w:pPr>
      <w:r w:rsidRPr="00164828">
        <w:rPr>
          <w:b/>
          <w:color w:val="0000FF"/>
        </w:rPr>
        <w:t xml:space="preserve">Send email to </w:t>
      </w:r>
      <w:hyperlink r:id="rId12" w:history="1">
        <w:r w:rsidRPr="00164828">
          <w:rPr>
            <w:rStyle w:val="Hyperlink"/>
            <w:b/>
          </w:rPr>
          <w:t>help@oit.duke.edu</w:t>
        </w:r>
      </w:hyperlink>
      <w:r w:rsidRPr="00164828">
        <w:rPr>
          <w:color w:val="0000FF"/>
        </w:rPr>
        <w:t xml:space="preserve">. The email will automatically create a ticket containing the contents of the email. If you know which support group the ticket should be assigned to, indicate this in the email. </w:t>
      </w:r>
    </w:p>
    <w:p w14:paraId="277583B0" w14:textId="77777777" w:rsidR="00A037DD" w:rsidRDefault="00A037DD" w:rsidP="00A037DD"/>
    <w:p w14:paraId="6249C456" w14:textId="77777777" w:rsidR="00A037DD" w:rsidRPr="000D462C" w:rsidRDefault="00A037DD" w:rsidP="00B7110F">
      <w:pPr>
        <w:pStyle w:val="ListBullet"/>
        <w:numPr>
          <w:ilvl w:val="0"/>
          <w:numId w:val="0"/>
        </w:numPr>
        <w:ind w:left="360"/>
        <w:rPr>
          <w:u w:val="single"/>
        </w:rPr>
      </w:pPr>
      <w:r w:rsidRPr="000D462C">
        <w:rPr>
          <w:u w:val="single"/>
        </w:rPr>
        <w:t>For urgent issues</w:t>
      </w:r>
      <w:r>
        <w:rPr>
          <w:u w:val="single"/>
        </w:rPr>
        <w:t xml:space="preserve"> (OIT response within 1 hour of reported issue)</w:t>
      </w:r>
      <w:r w:rsidRPr="000D462C">
        <w:rPr>
          <w:u w:val="single"/>
        </w:rPr>
        <w:t xml:space="preserve">: </w:t>
      </w:r>
    </w:p>
    <w:p w14:paraId="48B6F0AC" w14:textId="323F96B2" w:rsidR="00232764" w:rsidRPr="00232764" w:rsidRDefault="00232764" w:rsidP="00FA2AE0">
      <w:pPr>
        <w:pStyle w:val="BodyText"/>
        <w:spacing w:after="0"/>
        <w:ind w:left="360"/>
        <w:rPr>
          <w:i/>
          <w:color w:val="008000"/>
        </w:rPr>
      </w:pPr>
      <w:r w:rsidRPr="00232764">
        <w:rPr>
          <w:b/>
          <w:color w:val="008000"/>
        </w:rPr>
        <w:t>Call the OIT Service Desk</w:t>
      </w:r>
      <w:r w:rsidRPr="00232764">
        <w:rPr>
          <w:color w:val="008000"/>
        </w:rPr>
        <w:t xml:space="preserve"> at 919-684-2200. Advise the Service Desk to assign the ticket </w:t>
      </w:r>
      <w:r w:rsidRPr="00232764">
        <w:rPr>
          <w:b/>
          <w:color w:val="008000"/>
        </w:rPr>
        <w:t>Widespread Impact</w:t>
      </w:r>
      <w:r w:rsidRPr="00232764">
        <w:rPr>
          <w:color w:val="008000"/>
        </w:rPr>
        <w:t xml:space="preserve"> and </w:t>
      </w:r>
      <w:r w:rsidRPr="00232764">
        <w:rPr>
          <w:b/>
          <w:color w:val="008000"/>
        </w:rPr>
        <w:t xml:space="preserve">High Urgency </w:t>
      </w:r>
      <w:r w:rsidRPr="00232764">
        <w:rPr>
          <w:color w:val="008000"/>
        </w:rPr>
        <w:t>(</w:t>
      </w:r>
      <w:r w:rsidR="00FD5901">
        <w:rPr>
          <w:color w:val="008000"/>
        </w:rPr>
        <w:t xml:space="preserve">automatically </w:t>
      </w:r>
      <w:r w:rsidRPr="00232764">
        <w:rPr>
          <w:color w:val="008000"/>
        </w:rPr>
        <w:t xml:space="preserve">assigns the ticket a </w:t>
      </w:r>
      <w:r w:rsidRPr="00FD5901">
        <w:rPr>
          <w:b/>
          <w:color w:val="008000"/>
        </w:rPr>
        <w:t>Priority</w:t>
      </w:r>
      <w:r w:rsidR="00FD5901">
        <w:rPr>
          <w:b/>
          <w:color w:val="008000"/>
        </w:rPr>
        <w:t xml:space="preserve"> </w:t>
      </w:r>
      <w:r w:rsidR="00FD5901" w:rsidRPr="00FD5901">
        <w:rPr>
          <w:color w:val="008000"/>
        </w:rPr>
        <w:t>of</w:t>
      </w:r>
      <w:r w:rsidR="00FD5901">
        <w:rPr>
          <w:b/>
          <w:color w:val="008000"/>
        </w:rPr>
        <w:t xml:space="preserve"> Critical</w:t>
      </w:r>
      <w:r w:rsidRPr="00232764">
        <w:rPr>
          <w:color w:val="008000"/>
        </w:rPr>
        <w:t>)</w:t>
      </w:r>
      <w:r w:rsidRPr="00232764">
        <w:rPr>
          <w:b/>
          <w:color w:val="008000"/>
        </w:rPr>
        <w:t>.</w:t>
      </w:r>
      <w:r w:rsidRPr="00232764">
        <w:rPr>
          <w:i/>
          <w:color w:val="008000"/>
        </w:rPr>
        <w:t xml:space="preserve"> </w:t>
      </w:r>
    </w:p>
    <w:p w14:paraId="4B3B9B05" w14:textId="77777777" w:rsidR="00232764" w:rsidRDefault="00232764" w:rsidP="00A037DD">
      <w:pPr>
        <w:ind w:left="403"/>
        <w:rPr>
          <w:color w:val="0000FF"/>
        </w:rPr>
      </w:pPr>
    </w:p>
    <w:p w14:paraId="7E109A92" w14:textId="29FB3E58" w:rsidR="00A037DD" w:rsidRPr="00A80CB2" w:rsidRDefault="00A037DD" w:rsidP="00FA2AE0">
      <w:pPr>
        <w:ind w:left="360"/>
        <w:rPr>
          <w:color w:val="0000FF"/>
        </w:rPr>
      </w:pPr>
      <w:r w:rsidRPr="00A80CB2">
        <w:rPr>
          <w:color w:val="0000FF"/>
        </w:rPr>
        <w:t xml:space="preserve">For urgent issues, </w:t>
      </w:r>
      <w:r w:rsidR="00956E2C" w:rsidRPr="00A80CB2">
        <w:rPr>
          <w:color w:val="0000FF"/>
        </w:rPr>
        <w:t>customer</w:t>
      </w:r>
      <w:r w:rsidRPr="00A80CB2">
        <w:rPr>
          <w:color w:val="0000FF"/>
        </w:rPr>
        <w:t xml:space="preserve"> should create an incident in Support@Duke and assign it a </w:t>
      </w:r>
      <w:r w:rsidRPr="00A80CB2">
        <w:rPr>
          <w:b/>
          <w:color w:val="0000FF"/>
        </w:rPr>
        <w:t>High Urgency</w:t>
      </w:r>
      <w:r w:rsidRPr="00A80CB2">
        <w:rPr>
          <w:color w:val="0000FF"/>
        </w:rPr>
        <w:t xml:space="preserve"> and </w:t>
      </w:r>
      <w:r w:rsidRPr="00A80CB2">
        <w:rPr>
          <w:b/>
          <w:color w:val="0000FF"/>
        </w:rPr>
        <w:t xml:space="preserve">Widespread Impact </w:t>
      </w:r>
      <w:r w:rsidRPr="00A80CB2">
        <w:rPr>
          <w:color w:val="0000FF"/>
        </w:rPr>
        <w:t xml:space="preserve">(automatically </w:t>
      </w:r>
      <w:r w:rsidR="00FD5901">
        <w:rPr>
          <w:color w:val="0000FF"/>
        </w:rPr>
        <w:t xml:space="preserve">assigns the ticket a </w:t>
      </w:r>
      <w:r w:rsidR="00FD5901" w:rsidRPr="00FD5901">
        <w:rPr>
          <w:b/>
          <w:color w:val="0000FF"/>
        </w:rPr>
        <w:t>Priority</w:t>
      </w:r>
      <w:r w:rsidR="00FD5901">
        <w:rPr>
          <w:color w:val="0000FF"/>
        </w:rPr>
        <w:t xml:space="preserve"> of </w:t>
      </w:r>
      <w:r w:rsidRPr="00A80CB2">
        <w:rPr>
          <w:b/>
          <w:color w:val="0000FF"/>
        </w:rPr>
        <w:t>Critical</w:t>
      </w:r>
      <w:r w:rsidRPr="00A80CB2">
        <w:rPr>
          <w:color w:val="0000FF"/>
        </w:rPr>
        <w:t>)</w:t>
      </w:r>
      <w:r w:rsidRPr="00A80CB2">
        <w:rPr>
          <w:b/>
          <w:color w:val="0000FF"/>
        </w:rPr>
        <w:t>.</w:t>
      </w:r>
      <w:r w:rsidRPr="00A80CB2">
        <w:rPr>
          <w:color w:val="0000FF"/>
        </w:rPr>
        <w:t xml:space="preserve"> See </w:t>
      </w:r>
      <w:r w:rsidRPr="00A80CB2">
        <w:rPr>
          <w:i/>
          <w:color w:val="0000FF"/>
        </w:rPr>
        <w:t>Response Time,</w:t>
      </w:r>
      <w:r w:rsidRPr="00A80CB2">
        <w:rPr>
          <w:color w:val="0000FF"/>
        </w:rPr>
        <w:t xml:space="preserve"> below.</w:t>
      </w:r>
    </w:p>
    <w:p w14:paraId="1C6B96AB" w14:textId="77777777" w:rsidR="00A037DD" w:rsidRDefault="00A037DD" w:rsidP="00A037DD">
      <w:pPr>
        <w:pStyle w:val="Heading2"/>
      </w:pPr>
      <w:r>
        <w:t>After Hours</w:t>
      </w:r>
    </w:p>
    <w:p w14:paraId="667FEE38" w14:textId="1E0C0A70" w:rsidR="00A037DD" w:rsidRDefault="00A037DD" w:rsidP="00A037DD">
      <w:r>
        <w:t>After hours is defined as 5pm-8am</w:t>
      </w:r>
      <w:r w:rsidR="00A80CB2">
        <w:t>,</w:t>
      </w:r>
      <w:r w:rsidR="00956E2C">
        <w:t xml:space="preserve"> Monday through Friday</w:t>
      </w:r>
      <w:r w:rsidR="00A80CB2">
        <w:t xml:space="preserve">; </w:t>
      </w:r>
      <w:r w:rsidR="00956E2C">
        <w:t>all day Saturday and Sunday</w:t>
      </w:r>
      <w:r w:rsidR="00A80CB2">
        <w:t>;</w:t>
      </w:r>
      <w:r w:rsidR="00956E2C">
        <w:t xml:space="preserve"> </w:t>
      </w:r>
      <w:r>
        <w:t xml:space="preserve">and </w:t>
      </w:r>
      <w:r w:rsidR="00956E2C">
        <w:t xml:space="preserve">all day on </w:t>
      </w:r>
      <w:r>
        <w:t>university holidays.</w:t>
      </w:r>
    </w:p>
    <w:p w14:paraId="54E2BADA" w14:textId="77777777" w:rsidR="00A037DD" w:rsidRPr="00414638" w:rsidRDefault="00A037DD" w:rsidP="00A037DD"/>
    <w:p w14:paraId="1927153D" w14:textId="77777777" w:rsidR="00A037DD" w:rsidRDefault="00A037DD" w:rsidP="00EC7FB8">
      <w:pPr>
        <w:ind w:left="360"/>
      </w:pPr>
      <w:r w:rsidRPr="00FC591E">
        <w:rPr>
          <w:u w:val="single"/>
        </w:rPr>
        <w:t>For non-urgent issues:</w:t>
      </w:r>
      <w:r>
        <w:t xml:space="preserve"> Submit a Support@Duke incident or send email to the Service Desk as above. </w:t>
      </w:r>
    </w:p>
    <w:p w14:paraId="0B66890C" w14:textId="77777777" w:rsidR="00A037DD" w:rsidRDefault="00A037DD" w:rsidP="00A037DD"/>
    <w:p w14:paraId="2496F574" w14:textId="656C3380" w:rsidR="00EC7FB8" w:rsidRPr="00EC7FB8" w:rsidRDefault="00EC7FB8" w:rsidP="00EC7FB8">
      <w:pPr>
        <w:ind w:left="360"/>
        <w:rPr>
          <w:color w:val="008000"/>
        </w:rPr>
      </w:pPr>
      <w:r w:rsidRPr="00EC7FB8">
        <w:rPr>
          <w:color w:val="008000"/>
          <w:u w:val="single"/>
        </w:rPr>
        <w:t>For urgent issues:</w:t>
      </w:r>
      <w:r w:rsidRPr="00EC7FB8">
        <w:rPr>
          <w:color w:val="008000"/>
        </w:rPr>
        <w:t xml:space="preserve"> Call the OIT Service Desk at 919-684-2200, select the option for reporting a critical issue/service interruption, and leave a voice mail message. This creates a ticket with a </w:t>
      </w:r>
      <w:r w:rsidRPr="00EC7FB8">
        <w:rPr>
          <w:b/>
          <w:color w:val="008000"/>
        </w:rPr>
        <w:t>Priority</w:t>
      </w:r>
      <w:r>
        <w:rPr>
          <w:color w:val="008000"/>
        </w:rPr>
        <w:t xml:space="preserve"> of </w:t>
      </w:r>
      <w:r w:rsidRPr="00EC7FB8">
        <w:rPr>
          <w:b/>
          <w:color w:val="008000"/>
        </w:rPr>
        <w:t>Critical</w:t>
      </w:r>
      <w:r w:rsidRPr="00EC7FB8">
        <w:rPr>
          <w:b/>
          <w:color w:val="008000"/>
        </w:rPr>
        <w:t>.</w:t>
      </w:r>
      <w:r w:rsidRPr="00EC7FB8">
        <w:rPr>
          <w:color w:val="008000"/>
        </w:rPr>
        <w:t xml:space="preserve"> The OIT Service Operations Center (SOC) will listen to the message and assign it to the appropriate support group. OIT will respond within one hour. </w:t>
      </w:r>
    </w:p>
    <w:p w14:paraId="760E7B23" w14:textId="77777777" w:rsidR="00EC7FB8" w:rsidRDefault="00EC7FB8" w:rsidP="00A037DD"/>
    <w:p w14:paraId="77A45A90" w14:textId="77777777" w:rsidR="00A037DD" w:rsidRPr="00A80CB2" w:rsidRDefault="00A037DD" w:rsidP="00EC7FB8">
      <w:pPr>
        <w:ind w:left="360"/>
        <w:rPr>
          <w:rFonts w:eastAsia="Times"/>
          <w:color w:val="0000FF"/>
          <w:szCs w:val="20"/>
        </w:rPr>
      </w:pPr>
      <w:r w:rsidRPr="00A80CB2">
        <w:rPr>
          <w:color w:val="0000FF"/>
          <w:u w:val="single"/>
        </w:rPr>
        <w:t>For urgent issues:</w:t>
      </w:r>
      <w:r w:rsidRPr="00A80CB2">
        <w:rPr>
          <w:color w:val="0000FF"/>
        </w:rPr>
        <w:t xml:space="preserve"> Submit a </w:t>
      </w:r>
      <w:r w:rsidRPr="00A80CB2">
        <w:rPr>
          <w:b/>
          <w:color w:val="0000FF"/>
        </w:rPr>
        <w:t>Critical Priority</w:t>
      </w:r>
      <w:r w:rsidRPr="00A80CB2">
        <w:rPr>
          <w:color w:val="0000FF"/>
        </w:rPr>
        <w:t xml:space="preserve"> incident or call the SOC at 919-660-7015. </w:t>
      </w:r>
    </w:p>
    <w:p w14:paraId="73A84348" w14:textId="5C42F487" w:rsidR="00EA6B20" w:rsidRDefault="00685EC8" w:rsidP="00EA6B20">
      <w:pPr>
        <w:pStyle w:val="Heading2"/>
      </w:pPr>
      <w:r>
        <w:t>Response Time</w:t>
      </w:r>
    </w:p>
    <w:p w14:paraId="2A69ADFD" w14:textId="64B56912" w:rsidR="00A037DD" w:rsidRDefault="008B18E6" w:rsidP="00A037DD">
      <w:pPr>
        <w:pStyle w:val="BodyText"/>
        <w:rPr>
          <w:b/>
        </w:rPr>
      </w:pPr>
      <w:r>
        <w:t xml:space="preserve">OIT </w:t>
      </w:r>
      <w:r w:rsidRPr="00161B02">
        <w:t>respond</w:t>
      </w:r>
      <w:r>
        <w:t xml:space="preserve">s to incidents according to the </w:t>
      </w:r>
      <w:r>
        <w:rPr>
          <w:b/>
        </w:rPr>
        <w:t>P</w:t>
      </w:r>
      <w:r w:rsidRPr="00225508">
        <w:rPr>
          <w:b/>
        </w:rPr>
        <w:t>riority</w:t>
      </w:r>
      <w:r>
        <w:t xml:space="preserve"> assigne</w:t>
      </w:r>
      <w:r w:rsidRPr="00225508">
        <w:t>d</w:t>
      </w:r>
      <w:r>
        <w:t xml:space="preserve"> to the ticket in Support@Duke. Priority is automatically assigned as a result of the issue’s assigned </w:t>
      </w:r>
      <w:r w:rsidRPr="00FA3E23">
        <w:rPr>
          <w:b/>
        </w:rPr>
        <w:t>Urgency</w:t>
      </w:r>
      <w:r>
        <w:t xml:space="preserve"> and </w:t>
      </w:r>
      <w:r w:rsidRPr="00FA3E23">
        <w:rPr>
          <w:b/>
        </w:rPr>
        <w:t>Impact</w:t>
      </w:r>
      <w:r>
        <w:rPr>
          <w:b/>
        </w:rPr>
        <w:t>:</w:t>
      </w:r>
    </w:p>
    <w:p w14:paraId="0A76C91E" w14:textId="47C14BB1" w:rsidR="008B18E6" w:rsidRDefault="00EC7FB8" w:rsidP="008B18E6">
      <w:pPr>
        <w:pStyle w:val="ListBullet"/>
        <w:tabs>
          <w:tab w:val="clear" w:pos="360"/>
          <w:tab w:val="num" w:pos="720"/>
        </w:tabs>
        <w:ind w:left="720"/>
      </w:pPr>
      <w:r>
        <w:rPr>
          <w:b/>
        </w:rPr>
        <w:t xml:space="preserve">Low or </w:t>
      </w:r>
      <w:r w:rsidR="008B18E6" w:rsidRPr="00EC7FB8">
        <w:rPr>
          <w:b/>
        </w:rPr>
        <w:t>Moderate Priority:</w:t>
      </w:r>
      <w:r w:rsidR="008B18E6">
        <w:t xml:space="preserve"> Assigned group responds within 8 hours (8a-5p, M-F)</w:t>
      </w:r>
    </w:p>
    <w:p w14:paraId="7927E485" w14:textId="4FD75B5B" w:rsidR="008B18E6" w:rsidRPr="008B18E6" w:rsidRDefault="00EC7FB8" w:rsidP="00A037DD">
      <w:pPr>
        <w:pStyle w:val="ListBullet"/>
        <w:tabs>
          <w:tab w:val="clear" w:pos="360"/>
          <w:tab w:val="num" w:pos="720"/>
        </w:tabs>
        <w:ind w:left="720"/>
      </w:pPr>
      <w:r w:rsidRPr="00EC7FB8">
        <w:rPr>
          <w:b/>
        </w:rPr>
        <w:t xml:space="preserve">High or </w:t>
      </w:r>
      <w:r w:rsidR="008B18E6" w:rsidRPr="00EC7FB8">
        <w:rPr>
          <w:b/>
        </w:rPr>
        <w:t>Critical Priority:</w:t>
      </w:r>
      <w:r w:rsidR="008B18E6">
        <w:t xml:space="preserve"> Assigned group responds within 1 hour (24x7) </w:t>
      </w:r>
    </w:p>
    <w:tbl>
      <w:tblPr>
        <w:tblStyle w:val="MediumShading2-Accent1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1476"/>
        <w:gridCol w:w="1224"/>
        <w:gridCol w:w="1260"/>
        <w:gridCol w:w="1080"/>
      </w:tblGrid>
      <w:tr w:rsidR="00A037DD" w14:paraId="22ED3CB8" w14:textId="77777777" w:rsidTr="00A03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6" w:type="dxa"/>
            <w:tcBorders>
              <w:top w:val="nil"/>
              <w:right w:val="single" w:sz="18" w:space="0" w:color="auto"/>
            </w:tcBorders>
            <w:shd w:val="clear" w:color="auto" w:fill="auto"/>
            <w:vAlign w:val="bottom"/>
          </w:tcPr>
          <w:p w14:paraId="33449C00" w14:textId="77777777" w:rsidR="00A037DD" w:rsidRDefault="00A037DD" w:rsidP="00A037DD">
            <w:pPr>
              <w:pStyle w:val="BodyText"/>
              <w:jc w:val="center"/>
            </w:pPr>
          </w:p>
        </w:tc>
        <w:tc>
          <w:tcPr>
            <w:tcW w:w="356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99CCFF"/>
            <w:vAlign w:val="bottom"/>
          </w:tcPr>
          <w:p w14:paraId="6A2184B6" w14:textId="77777777" w:rsidR="00A037DD" w:rsidRPr="008B18E6" w:rsidRDefault="00A037DD" w:rsidP="00A037DD">
            <w:pPr>
              <w:pStyle w:val="Bod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u w:val="single"/>
              </w:rPr>
            </w:pPr>
            <w:r w:rsidRPr="008B18E6">
              <w:rPr>
                <w:color w:val="auto"/>
                <w:u w:val="single"/>
              </w:rPr>
              <w:t>Urgency</w:t>
            </w:r>
          </w:p>
        </w:tc>
      </w:tr>
      <w:tr w:rsidR="00A037DD" w14:paraId="6FC60038" w14:textId="77777777" w:rsidTr="00A0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23F2954" w14:textId="77777777" w:rsidR="00A037DD" w:rsidRPr="008B18E6" w:rsidRDefault="00A037DD" w:rsidP="00A037DD">
            <w:pPr>
              <w:pStyle w:val="BodyText"/>
              <w:jc w:val="center"/>
              <w:rPr>
                <w:color w:val="FFFFFF" w:themeColor="background1"/>
                <w:u w:val="single"/>
              </w:rPr>
            </w:pPr>
            <w:r w:rsidRPr="008B18E6">
              <w:rPr>
                <w:color w:val="FFFFFF" w:themeColor="background1"/>
                <w:u w:val="single"/>
              </w:rPr>
              <w:t>Impact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99CCFF"/>
            <w:vAlign w:val="bottom"/>
          </w:tcPr>
          <w:p w14:paraId="4C211DC2" w14:textId="77777777" w:rsidR="00A037DD" w:rsidRDefault="00A037DD" w:rsidP="00A037D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260" w:type="dxa"/>
            <w:tcBorders>
              <w:top w:val="nil"/>
              <w:bottom w:val="single" w:sz="18" w:space="0" w:color="auto"/>
            </w:tcBorders>
            <w:shd w:val="clear" w:color="auto" w:fill="99CCFF"/>
            <w:vAlign w:val="bottom"/>
          </w:tcPr>
          <w:p w14:paraId="2D7F75B2" w14:textId="77777777" w:rsidR="00A037DD" w:rsidRDefault="00A037DD" w:rsidP="00A037D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99CCFF"/>
            <w:vAlign w:val="bottom"/>
          </w:tcPr>
          <w:p w14:paraId="0DD2EC75" w14:textId="77777777" w:rsidR="00A037DD" w:rsidRDefault="00A037DD" w:rsidP="00A037D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</w:tr>
      <w:tr w:rsidR="00A037DD" w14:paraId="1D499C16" w14:textId="77777777" w:rsidTr="00A03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1A035BA2" w14:textId="77777777" w:rsidR="00A037DD" w:rsidRPr="00EC6472" w:rsidRDefault="00A037DD" w:rsidP="00A037DD">
            <w:pPr>
              <w:pStyle w:val="BodyText"/>
              <w:jc w:val="center"/>
              <w:rPr>
                <w:b w:val="0"/>
                <w:color w:val="FFFFFF" w:themeColor="background1"/>
              </w:rPr>
            </w:pPr>
            <w:r w:rsidRPr="00EC6472">
              <w:rPr>
                <w:b w:val="0"/>
                <w:color w:val="FFFFFF" w:themeColor="background1"/>
              </w:rPr>
              <w:t>Widespread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FFFF99"/>
            <w:vAlign w:val="bottom"/>
          </w:tcPr>
          <w:p w14:paraId="0DDF0FED" w14:textId="77777777" w:rsidR="00A037DD" w:rsidRDefault="00A037DD" w:rsidP="00A037D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Critical</w:t>
            </w:r>
          </w:p>
        </w:tc>
        <w:tc>
          <w:tcPr>
            <w:tcW w:w="1260" w:type="dxa"/>
            <w:tcBorders>
              <w:top w:val="single" w:sz="18" w:space="0" w:color="auto"/>
              <w:bottom w:val="nil"/>
            </w:tcBorders>
            <w:shd w:val="clear" w:color="auto" w:fill="FFFF99"/>
            <w:vAlign w:val="bottom"/>
          </w:tcPr>
          <w:p w14:paraId="4172A1CF" w14:textId="77777777" w:rsidR="00A037DD" w:rsidRDefault="00A037DD" w:rsidP="00A037D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08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CCFFCC"/>
            <w:vAlign w:val="bottom"/>
          </w:tcPr>
          <w:p w14:paraId="65B64A34" w14:textId="77777777" w:rsidR="00A037DD" w:rsidRDefault="00A037DD" w:rsidP="00A037D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</w:tr>
      <w:tr w:rsidR="00A037DD" w14:paraId="21518077" w14:textId="77777777" w:rsidTr="00A03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2BF5C0C0" w14:textId="77777777" w:rsidR="00A037DD" w:rsidRPr="00EC6472" w:rsidRDefault="00A037DD" w:rsidP="00A037DD">
            <w:pPr>
              <w:pStyle w:val="BodyText"/>
              <w:jc w:val="center"/>
              <w:rPr>
                <w:b w:val="0"/>
                <w:color w:val="FFFFFF" w:themeColor="background1"/>
              </w:rPr>
            </w:pPr>
            <w:r w:rsidRPr="00EC6472">
              <w:rPr>
                <w:b w:val="0"/>
                <w:color w:val="FFFFFF" w:themeColor="background1"/>
              </w:rPr>
              <w:t>Workgroup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nil"/>
            </w:tcBorders>
            <w:shd w:val="clear" w:color="auto" w:fill="FFFF99"/>
            <w:vAlign w:val="bottom"/>
          </w:tcPr>
          <w:p w14:paraId="0DF0478A" w14:textId="77777777" w:rsidR="00A037DD" w:rsidRDefault="00A037DD" w:rsidP="00A037D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CCFFCC"/>
            <w:vAlign w:val="bottom"/>
          </w:tcPr>
          <w:p w14:paraId="55F53F0A" w14:textId="77777777" w:rsidR="00A037DD" w:rsidRDefault="00A037DD" w:rsidP="00A037D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080" w:type="dxa"/>
            <w:tcBorders>
              <w:top w:val="nil"/>
              <w:bottom w:val="nil"/>
              <w:right w:val="single" w:sz="18" w:space="0" w:color="auto"/>
            </w:tcBorders>
            <w:shd w:val="clear" w:color="auto" w:fill="CCFFCC"/>
            <w:vAlign w:val="bottom"/>
          </w:tcPr>
          <w:p w14:paraId="3C804E88" w14:textId="77777777" w:rsidR="00A037DD" w:rsidRDefault="00A037DD" w:rsidP="00A037DD">
            <w:pPr>
              <w:pStyle w:val="Body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</w:tr>
      <w:tr w:rsidR="00A037DD" w14:paraId="7AE1255C" w14:textId="77777777" w:rsidTr="00A03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bottom"/>
          </w:tcPr>
          <w:p w14:paraId="4EBA0C87" w14:textId="77777777" w:rsidR="00A037DD" w:rsidRPr="00EC6472" w:rsidRDefault="00A037DD" w:rsidP="00A037DD">
            <w:pPr>
              <w:pStyle w:val="BodyText"/>
              <w:jc w:val="center"/>
              <w:rPr>
                <w:b w:val="0"/>
                <w:color w:val="FFFFFF" w:themeColor="background1"/>
              </w:rPr>
            </w:pPr>
            <w:r w:rsidRPr="00EC6472">
              <w:rPr>
                <w:b w:val="0"/>
                <w:color w:val="FFFFFF" w:themeColor="background1"/>
              </w:rPr>
              <w:t>Individual</w:t>
            </w:r>
          </w:p>
        </w:tc>
        <w:tc>
          <w:tcPr>
            <w:tcW w:w="1224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CCFFCC"/>
            <w:vAlign w:val="bottom"/>
          </w:tcPr>
          <w:p w14:paraId="527F72D4" w14:textId="77777777" w:rsidR="00A037DD" w:rsidRDefault="00A037DD" w:rsidP="00A037D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</w:t>
            </w:r>
          </w:p>
        </w:tc>
        <w:tc>
          <w:tcPr>
            <w:tcW w:w="1260" w:type="dxa"/>
            <w:tcBorders>
              <w:top w:val="nil"/>
              <w:bottom w:val="single" w:sz="18" w:space="0" w:color="auto"/>
            </w:tcBorders>
            <w:shd w:val="clear" w:color="auto" w:fill="CCFFCC"/>
            <w:vAlign w:val="bottom"/>
          </w:tcPr>
          <w:p w14:paraId="7E651C68" w14:textId="77777777" w:rsidR="00A037DD" w:rsidRDefault="00A037DD" w:rsidP="00A037D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08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bottom"/>
          </w:tcPr>
          <w:p w14:paraId="07FFC97B" w14:textId="77777777" w:rsidR="00A037DD" w:rsidRDefault="00A037DD" w:rsidP="00A037DD">
            <w:pPr>
              <w:pStyle w:val="Body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</w:tr>
    </w:tbl>
    <w:p w14:paraId="7063F25E" w14:textId="77777777" w:rsidR="00A037DD" w:rsidRDefault="00A037DD" w:rsidP="00A037DD">
      <w:pPr>
        <w:pStyle w:val="Heading2"/>
        <w:rPr>
          <w:rFonts w:eastAsia="Trebuchet MS"/>
        </w:rPr>
      </w:pPr>
      <w:r>
        <w:rPr>
          <w:rFonts w:eastAsia="Trebuchet MS"/>
        </w:rPr>
        <w:lastRenderedPageBreak/>
        <w:t>Reporting</w:t>
      </w:r>
    </w:p>
    <w:p w14:paraId="7E55E291" w14:textId="08EDDEAC" w:rsidR="0048123D" w:rsidRDefault="007738C3" w:rsidP="00A037DD">
      <w:pPr>
        <w:pStyle w:val="BodyText"/>
      </w:pPr>
      <w:r>
        <w:t>[</w:t>
      </w:r>
      <w:r w:rsidR="0048123D">
        <w:t xml:space="preserve">Note: If the customer is has an ITIL role in Support@Duke, they can run their own reports. Otherwise, OIT can run them upon request. Use either the </w:t>
      </w:r>
      <w:r w:rsidR="0048123D" w:rsidRPr="007738C3">
        <w:rPr>
          <w:color w:val="008000"/>
        </w:rPr>
        <w:t>green</w:t>
      </w:r>
      <w:r w:rsidR="0048123D">
        <w:t xml:space="preserve"> or </w:t>
      </w:r>
      <w:r w:rsidR="0048123D" w:rsidRPr="007738C3">
        <w:rPr>
          <w:color w:val="0000FF"/>
        </w:rPr>
        <w:t>blue</w:t>
      </w:r>
      <w:r w:rsidR="0048123D">
        <w:t xml:space="preserve"> language below.</w:t>
      </w:r>
      <w:r>
        <w:t>]</w:t>
      </w:r>
    </w:p>
    <w:p w14:paraId="4AEB5700" w14:textId="60869945" w:rsidR="0048123D" w:rsidRPr="0048123D" w:rsidRDefault="0048123D" w:rsidP="00A037DD">
      <w:pPr>
        <w:pStyle w:val="BodyText"/>
        <w:rPr>
          <w:color w:val="008000"/>
        </w:rPr>
      </w:pPr>
      <w:r w:rsidRPr="0048123D">
        <w:rPr>
          <w:color w:val="008000"/>
        </w:rPr>
        <w:t xml:space="preserve">Upon request and at no charge, OIT can provide </w:t>
      </w:r>
      <w:r>
        <w:rPr>
          <w:color w:val="008000"/>
        </w:rPr>
        <w:t>customer</w:t>
      </w:r>
      <w:r w:rsidRPr="0048123D">
        <w:rPr>
          <w:color w:val="008000"/>
        </w:rPr>
        <w:t xml:space="preserve"> with </w:t>
      </w:r>
      <w:r w:rsidR="007738C3">
        <w:rPr>
          <w:color w:val="008000"/>
        </w:rPr>
        <w:t xml:space="preserve">periodic </w:t>
      </w:r>
      <w:r w:rsidRPr="0048123D">
        <w:rPr>
          <w:color w:val="008000"/>
        </w:rPr>
        <w:t xml:space="preserve">Support@Duke reports related to </w:t>
      </w:r>
      <w:r>
        <w:rPr>
          <w:color w:val="008000"/>
        </w:rPr>
        <w:t>service</w:t>
      </w:r>
      <w:r w:rsidRPr="0048123D">
        <w:rPr>
          <w:color w:val="008000"/>
        </w:rPr>
        <w:t xml:space="preserve"> incidents and requests.</w:t>
      </w:r>
      <w:r w:rsidR="007738C3">
        <w:rPr>
          <w:color w:val="008000"/>
        </w:rPr>
        <w:t xml:space="preserve"> To request a report, customer should contact the OIT contact for this SLA.</w:t>
      </w:r>
    </w:p>
    <w:p w14:paraId="16525A6E" w14:textId="3D727E34" w:rsidR="00A037DD" w:rsidRPr="0048123D" w:rsidRDefault="00A037DD" w:rsidP="00A037DD">
      <w:pPr>
        <w:pStyle w:val="BodyText"/>
        <w:rPr>
          <w:color w:val="0000FF"/>
        </w:rPr>
      </w:pPr>
      <w:r w:rsidRPr="0048123D">
        <w:rPr>
          <w:color w:val="0000FF"/>
        </w:rPr>
        <w:t xml:space="preserve">As a Support@Duke ITIL-user, </w:t>
      </w:r>
      <w:r w:rsidR="0048123D" w:rsidRPr="0048123D">
        <w:rPr>
          <w:color w:val="0000FF"/>
        </w:rPr>
        <w:t>customer</w:t>
      </w:r>
      <w:r w:rsidRPr="0048123D">
        <w:rPr>
          <w:color w:val="0000FF"/>
        </w:rPr>
        <w:t xml:space="preserve"> may run reports against their assignment group or </w:t>
      </w:r>
      <w:r w:rsidR="00AD2FD3">
        <w:rPr>
          <w:color w:val="0000FF"/>
        </w:rPr>
        <w:t>particular</w:t>
      </w:r>
      <w:r w:rsidRPr="0048123D">
        <w:rPr>
          <w:color w:val="0000FF"/>
        </w:rPr>
        <w:t xml:space="preserve"> configuration item</w:t>
      </w:r>
      <w:r w:rsidR="0048123D" w:rsidRPr="0048123D">
        <w:rPr>
          <w:color w:val="0000FF"/>
        </w:rPr>
        <w:t>(s)</w:t>
      </w:r>
      <w:r w:rsidRPr="0048123D">
        <w:rPr>
          <w:color w:val="0000FF"/>
        </w:rPr>
        <w:t xml:space="preserve"> </w:t>
      </w:r>
      <w:r w:rsidR="0048123D" w:rsidRPr="0048123D">
        <w:rPr>
          <w:color w:val="0000FF"/>
        </w:rPr>
        <w:t>[list CIs</w:t>
      </w:r>
      <w:r w:rsidR="00AD2FD3">
        <w:rPr>
          <w:color w:val="0000FF"/>
        </w:rPr>
        <w:t xml:space="preserve"> if desired</w:t>
      </w:r>
      <w:r w:rsidR="0048123D" w:rsidRPr="0048123D">
        <w:rPr>
          <w:color w:val="0000FF"/>
        </w:rPr>
        <w:t>]</w:t>
      </w:r>
      <w:r w:rsidRPr="0048123D">
        <w:rPr>
          <w:color w:val="0000FF"/>
        </w:rPr>
        <w:t xml:space="preserve">. OIT can provide training on Support@Duke reports. </w:t>
      </w:r>
    </w:p>
    <w:p w14:paraId="2A9204E6" w14:textId="13BFA801" w:rsidR="00EA6B20" w:rsidRDefault="008A43CF" w:rsidP="00A037DD">
      <w:pPr>
        <w:pStyle w:val="Heading1"/>
      </w:pPr>
      <w:r>
        <w:t xml:space="preserve">Service </w:t>
      </w:r>
      <w:r w:rsidR="00EA6B20">
        <w:t>E</w:t>
      </w:r>
      <w:r w:rsidR="003C4C52">
        <w:t>nhancements</w:t>
      </w:r>
    </w:p>
    <w:p w14:paraId="0DBA56A7" w14:textId="6C60700C" w:rsidR="00417E5D" w:rsidRDefault="00417E5D" w:rsidP="00417E5D">
      <w:pPr>
        <w:pStyle w:val="BodyText"/>
      </w:pPr>
      <w:r>
        <w:t xml:space="preserve">Service enhancements are </w:t>
      </w:r>
      <w:r w:rsidRPr="00511646">
        <w:t>requests for planned changes in service or functionality</w:t>
      </w:r>
      <w:r>
        <w:t>,</w:t>
      </w:r>
      <w:r w:rsidRPr="00511646">
        <w:t xml:space="preserve"> and are </w:t>
      </w:r>
      <w:r>
        <w:t xml:space="preserve">managed as requests as opposed incidents/issues. Enhancements typically apply to software applications, but may apply to interfaces between systems. </w:t>
      </w:r>
      <w:r w:rsidRPr="00511646">
        <w:t xml:space="preserve">The customer is welcome to submit requests for enhancements, with the understanding that these may warrant a separate project and funding proposal. </w:t>
      </w:r>
      <w:r>
        <w:t xml:space="preserve">Customer should request changes or enhancements to the current environment by contacting the OIT contact for this SLA. </w:t>
      </w:r>
    </w:p>
    <w:p w14:paraId="4D72EDC5" w14:textId="7FACFD67" w:rsidR="00AD7E76" w:rsidRDefault="00C1752B" w:rsidP="00C1752B">
      <w:pPr>
        <w:pStyle w:val="Heading1"/>
      </w:pPr>
      <w:r>
        <w:t>Financial Impact</w:t>
      </w:r>
    </w:p>
    <w:p w14:paraId="6149A394" w14:textId="0530B4E2" w:rsidR="00072329" w:rsidRDefault="00072329" w:rsidP="00AD7E76">
      <w:pPr>
        <w:pStyle w:val="BodyText"/>
      </w:pPr>
      <w:r>
        <w:t>The table below presents detail regarding the financial impact to [department] for the services provided. [Describe how these costs will be collecte</w:t>
      </w:r>
      <w:r w:rsidR="00AD2FD3">
        <w:t>d from the department by OIT</w:t>
      </w:r>
      <w:r>
        <w:t>. Make changes to the table as desired.</w:t>
      </w:r>
      <w:r w:rsidR="007A2C71">
        <w:t xml:space="preserve"> Alternatively</w:t>
      </w:r>
      <w:r w:rsidR="007D34F4">
        <w:t xml:space="preserve"> or in addition, provide detail </w:t>
      </w:r>
      <w:r w:rsidR="00AD2FD3">
        <w:t>in an a</w:t>
      </w:r>
      <w:r w:rsidR="007A2C71">
        <w:t>ppendix.</w:t>
      </w:r>
      <w:r>
        <w:t xml:space="preserve">] </w:t>
      </w:r>
    </w:p>
    <w:tbl>
      <w:tblPr>
        <w:tblStyle w:val="MediumShading1-Accent1"/>
        <w:tblW w:w="8748" w:type="dxa"/>
        <w:tblInd w:w="108" w:type="dxa"/>
        <w:tblLayout w:type="fixed"/>
        <w:tblLook w:val="0620" w:firstRow="1" w:lastRow="0" w:firstColumn="0" w:lastColumn="0" w:noHBand="1" w:noVBand="1"/>
      </w:tblPr>
      <w:tblGrid>
        <w:gridCol w:w="3060"/>
        <w:gridCol w:w="1980"/>
        <w:gridCol w:w="2160"/>
        <w:gridCol w:w="1548"/>
      </w:tblGrid>
      <w:tr w:rsidR="007A2C71" w:rsidRPr="007B2CEF" w14:paraId="0C5BBAD5" w14:textId="77777777" w:rsidTr="00676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3060" w:type="dxa"/>
          </w:tcPr>
          <w:p w14:paraId="67C1CFDE" w14:textId="388BF90D" w:rsidR="007A2C71" w:rsidRPr="000C64D4" w:rsidRDefault="007A2C71" w:rsidP="007A2C71">
            <w:pPr>
              <w:snapToGrid w:val="0"/>
              <w:rPr>
                <w:color w:val="FFFFFF" w:themeColor="background1"/>
              </w:rPr>
            </w:pPr>
            <w:r w:rsidRPr="000C64D4">
              <w:rPr>
                <w:color w:val="FFFFFF" w:themeColor="background1"/>
              </w:rPr>
              <w:t>Service</w:t>
            </w:r>
            <w:r>
              <w:rPr>
                <w:color w:val="FFFFFF" w:themeColor="background1"/>
              </w:rPr>
              <w:t xml:space="preserve"> (examples)</w:t>
            </w:r>
          </w:p>
        </w:tc>
        <w:tc>
          <w:tcPr>
            <w:tcW w:w="1980" w:type="dxa"/>
          </w:tcPr>
          <w:p w14:paraId="0712B89E" w14:textId="184C66E7" w:rsidR="007A2C71" w:rsidRDefault="007A2C71" w:rsidP="00AD7E76">
            <w:pPr>
              <w:snapToGrid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Support</w:t>
            </w:r>
          </w:p>
        </w:tc>
        <w:tc>
          <w:tcPr>
            <w:tcW w:w="2160" w:type="dxa"/>
          </w:tcPr>
          <w:p w14:paraId="11506A4B" w14:textId="3B88B84A" w:rsidR="007A2C71" w:rsidRDefault="007A2C71" w:rsidP="00AD7E76">
            <w:pPr>
              <w:snapToGrid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Billing Period </w:t>
            </w:r>
          </w:p>
        </w:tc>
        <w:tc>
          <w:tcPr>
            <w:tcW w:w="1548" w:type="dxa"/>
          </w:tcPr>
          <w:p w14:paraId="550A6F46" w14:textId="3412736C" w:rsidR="007A2C71" w:rsidRPr="000C64D4" w:rsidRDefault="0067659E" w:rsidP="007D34F4">
            <w:pPr>
              <w:snapToGrid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Amount/Rate</w:t>
            </w:r>
          </w:p>
        </w:tc>
      </w:tr>
      <w:tr w:rsidR="007A2C71" w:rsidRPr="007A2C71" w14:paraId="34A60094" w14:textId="77777777" w:rsidTr="0067659E">
        <w:trPr>
          <w:trHeight w:val="293"/>
        </w:trPr>
        <w:tc>
          <w:tcPr>
            <w:tcW w:w="3060" w:type="dxa"/>
          </w:tcPr>
          <w:p w14:paraId="361B2E28" w14:textId="6CDE3532" w:rsidR="007A2C71" w:rsidRPr="007A2C71" w:rsidRDefault="007A2C71" w:rsidP="00AD7E76">
            <w:pPr>
              <w:ind w:left="-18"/>
              <w:rPr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>Web hosting</w:t>
            </w:r>
          </w:p>
        </w:tc>
        <w:tc>
          <w:tcPr>
            <w:tcW w:w="1980" w:type="dxa"/>
          </w:tcPr>
          <w:p w14:paraId="03A8CCA4" w14:textId="0FC5D810" w:rsidR="007A2C71" w:rsidRPr="007A2C71" w:rsidRDefault="007A2C71" w:rsidP="0067659E">
            <w:pPr>
              <w:ind w:left="122" w:right="162"/>
              <w:jc w:val="right"/>
              <w:rPr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>24 x 7 or</w:t>
            </w:r>
            <w:r w:rsidR="0067659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A2C71">
              <w:rPr>
                <w:color w:val="000000" w:themeColor="text1"/>
                <w:sz w:val="18"/>
                <w:szCs w:val="18"/>
              </w:rPr>
              <w:t>8 – 5/M-F</w:t>
            </w:r>
          </w:p>
        </w:tc>
        <w:tc>
          <w:tcPr>
            <w:tcW w:w="2160" w:type="dxa"/>
          </w:tcPr>
          <w:p w14:paraId="4BC697E3" w14:textId="619C6540" w:rsidR="007A2C71" w:rsidRPr="007A2C71" w:rsidRDefault="007A2C71" w:rsidP="007A2C71">
            <w:pPr>
              <w:ind w:left="122" w:right="162"/>
              <w:jc w:val="right"/>
              <w:rPr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>Quarterly/Annually</w:t>
            </w:r>
          </w:p>
        </w:tc>
        <w:tc>
          <w:tcPr>
            <w:tcW w:w="1548" w:type="dxa"/>
          </w:tcPr>
          <w:p w14:paraId="1CBDB3C3" w14:textId="77777777" w:rsidR="007A2C71" w:rsidRPr="007A2C71" w:rsidRDefault="007A2C71" w:rsidP="007D34F4">
            <w:pPr>
              <w:ind w:left="133" w:right="72"/>
              <w:jc w:val="right"/>
              <w:rPr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>$xxx.xx</w:t>
            </w:r>
          </w:p>
        </w:tc>
      </w:tr>
      <w:tr w:rsidR="007A2C71" w:rsidRPr="007A2C71" w14:paraId="208A7324" w14:textId="77777777" w:rsidTr="0067659E">
        <w:trPr>
          <w:trHeight w:val="293"/>
        </w:trPr>
        <w:tc>
          <w:tcPr>
            <w:tcW w:w="3060" w:type="dxa"/>
          </w:tcPr>
          <w:p w14:paraId="5F710535" w14:textId="37E3C867" w:rsidR="007A2C71" w:rsidRPr="007A2C71" w:rsidRDefault="007A2C71" w:rsidP="00AD7E76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>VM hosting</w:t>
            </w:r>
          </w:p>
        </w:tc>
        <w:tc>
          <w:tcPr>
            <w:tcW w:w="1980" w:type="dxa"/>
          </w:tcPr>
          <w:p w14:paraId="2FFD7C24" w14:textId="4ADBB5BD" w:rsidR="007A2C71" w:rsidRPr="007A2C71" w:rsidRDefault="007A2C71" w:rsidP="0067659E">
            <w:pPr>
              <w:ind w:left="122" w:right="162"/>
              <w:jc w:val="right"/>
              <w:rPr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>24 x 7 or</w:t>
            </w:r>
            <w:r w:rsidR="0067659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A2C71">
              <w:rPr>
                <w:color w:val="000000" w:themeColor="text1"/>
                <w:sz w:val="18"/>
                <w:szCs w:val="18"/>
              </w:rPr>
              <w:t>8 – 5/M-F</w:t>
            </w:r>
          </w:p>
        </w:tc>
        <w:tc>
          <w:tcPr>
            <w:tcW w:w="2160" w:type="dxa"/>
          </w:tcPr>
          <w:p w14:paraId="0DE19B1F" w14:textId="6F68237F" w:rsidR="007A2C71" w:rsidRPr="007A2C71" w:rsidRDefault="007A2C71" w:rsidP="007A2C71">
            <w:pPr>
              <w:ind w:left="122" w:right="162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>Quarterly/Annually</w:t>
            </w:r>
          </w:p>
        </w:tc>
        <w:tc>
          <w:tcPr>
            <w:tcW w:w="1548" w:type="dxa"/>
          </w:tcPr>
          <w:p w14:paraId="2308B813" w14:textId="77777777" w:rsidR="007A2C71" w:rsidRPr="007A2C71" w:rsidRDefault="007A2C71" w:rsidP="007D34F4">
            <w:pPr>
              <w:ind w:left="133" w:right="72"/>
              <w:jc w:val="right"/>
              <w:rPr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>$xxx.xx</w:t>
            </w:r>
          </w:p>
        </w:tc>
      </w:tr>
      <w:tr w:rsidR="007D34F4" w:rsidRPr="007A2C71" w14:paraId="3C29A6BE" w14:textId="77777777" w:rsidTr="0067659E">
        <w:trPr>
          <w:trHeight w:val="293"/>
        </w:trPr>
        <w:tc>
          <w:tcPr>
            <w:tcW w:w="3060" w:type="dxa"/>
          </w:tcPr>
          <w:p w14:paraId="272A75B3" w14:textId="4DAEE5F7" w:rsidR="007D34F4" w:rsidRPr="007A2C71" w:rsidRDefault="007D34F4" w:rsidP="00AD7E7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Add’l storage (# of GB)</w:t>
            </w:r>
          </w:p>
        </w:tc>
        <w:tc>
          <w:tcPr>
            <w:tcW w:w="1980" w:type="dxa"/>
          </w:tcPr>
          <w:p w14:paraId="22F2185D" w14:textId="49B9044E" w:rsidR="007D34F4" w:rsidRDefault="007D34F4" w:rsidP="007A2C71">
            <w:pPr>
              <w:ind w:left="122" w:right="162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160" w:type="dxa"/>
          </w:tcPr>
          <w:p w14:paraId="3C9D7470" w14:textId="59E6FA6D" w:rsidR="007D34F4" w:rsidRDefault="007D34F4" w:rsidP="007A2C71">
            <w:pPr>
              <w:ind w:left="122" w:right="162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Quarterly/Annually</w:t>
            </w:r>
          </w:p>
        </w:tc>
        <w:tc>
          <w:tcPr>
            <w:tcW w:w="1548" w:type="dxa"/>
          </w:tcPr>
          <w:p w14:paraId="7F88BF8E" w14:textId="0472B058" w:rsidR="007D34F4" w:rsidRPr="007A2C71" w:rsidRDefault="007D34F4" w:rsidP="007D34F4">
            <w:pPr>
              <w:ind w:left="133"/>
              <w:jc w:val="right"/>
              <w:rPr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>$xxx.xx</w:t>
            </w:r>
          </w:p>
        </w:tc>
      </w:tr>
      <w:tr w:rsidR="007A2C71" w:rsidRPr="007A2C71" w14:paraId="4E1EC452" w14:textId="77777777" w:rsidTr="0067659E">
        <w:trPr>
          <w:trHeight w:val="293"/>
        </w:trPr>
        <w:tc>
          <w:tcPr>
            <w:tcW w:w="3060" w:type="dxa"/>
          </w:tcPr>
          <w:p w14:paraId="7A6FF56E" w14:textId="2DCC66D6" w:rsidR="007A2C71" w:rsidRPr="007A2C71" w:rsidRDefault="007A2C71" w:rsidP="00AD7E76">
            <w:pPr>
              <w:rPr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>Application changes/enhancements</w:t>
            </w:r>
          </w:p>
        </w:tc>
        <w:tc>
          <w:tcPr>
            <w:tcW w:w="1980" w:type="dxa"/>
          </w:tcPr>
          <w:p w14:paraId="7C0CF13F" w14:textId="44003E0B" w:rsidR="007A2C71" w:rsidRPr="007A2C71" w:rsidRDefault="007D34F4" w:rsidP="007D34F4">
            <w:pPr>
              <w:ind w:left="122" w:right="162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Hourly labor</w:t>
            </w:r>
          </w:p>
        </w:tc>
        <w:tc>
          <w:tcPr>
            <w:tcW w:w="2160" w:type="dxa"/>
          </w:tcPr>
          <w:p w14:paraId="3427767F" w14:textId="55A28320" w:rsidR="007A2C71" w:rsidRPr="007A2C71" w:rsidRDefault="007A2C71" w:rsidP="007A2C71">
            <w:pPr>
              <w:ind w:left="122" w:right="162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Ad hoc</w:t>
            </w:r>
          </w:p>
        </w:tc>
        <w:tc>
          <w:tcPr>
            <w:tcW w:w="1548" w:type="dxa"/>
          </w:tcPr>
          <w:p w14:paraId="68F9B196" w14:textId="77777777" w:rsidR="007A2C71" w:rsidRPr="007A2C71" w:rsidRDefault="007A2C71" w:rsidP="007D34F4">
            <w:pPr>
              <w:ind w:left="133"/>
              <w:jc w:val="right"/>
              <w:rPr>
                <w:color w:val="000000" w:themeColor="text1"/>
                <w:sz w:val="18"/>
                <w:szCs w:val="18"/>
              </w:rPr>
            </w:pPr>
            <w:r w:rsidRPr="007A2C71">
              <w:rPr>
                <w:color w:val="000000" w:themeColor="text1"/>
                <w:sz w:val="18"/>
                <w:szCs w:val="18"/>
              </w:rPr>
              <w:t xml:space="preserve">$xxx.xx </w:t>
            </w:r>
          </w:p>
        </w:tc>
      </w:tr>
    </w:tbl>
    <w:p w14:paraId="6BD6B140" w14:textId="6AE325B4" w:rsidR="006E1345" w:rsidRPr="006E1345" w:rsidRDefault="00DB353B" w:rsidP="006E1345">
      <w:pPr>
        <w:pStyle w:val="Heading1"/>
      </w:pPr>
      <w:r>
        <w:t>Responsibilities</w:t>
      </w:r>
    </w:p>
    <w:p w14:paraId="508E21A2" w14:textId="0E1D18E1" w:rsidR="00A53387" w:rsidRPr="00401CEB" w:rsidRDefault="00B75519" w:rsidP="00A34F2A">
      <w:pPr>
        <w:pStyle w:val="BodyText"/>
      </w:pPr>
      <w:r>
        <w:t>Both the customer and OIT are involved in the successful resolution of issues. By following</w:t>
      </w:r>
      <w:r w:rsidR="008B5E22">
        <w:t xml:space="preserve"> standard issue-</w:t>
      </w:r>
      <w:r>
        <w:t xml:space="preserve">reporting processes and providing timely and comprehensive information, the customer can help ensure that OIT has the information required to resolve the issue in a timely fashion. </w:t>
      </w:r>
    </w:p>
    <w:p w14:paraId="7A0FC248" w14:textId="04A29064" w:rsidR="00096B3F" w:rsidRDefault="00096B3F" w:rsidP="00401CEB">
      <w:pPr>
        <w:pStyle w:val="Heading2"/>
      </w:pPr>
      <w:r w:rsidRPr="006726AE">
        <w:t xml:space="preserve">Customer </w:t>
      </w:r>
      <w:r w:rsidR="00D72979">
        <w:t>Responsibilities</w:t>
      </w:r>
    </w:p>
    <w:p w14:paraId="30C60E37" w14:textId="0E01D566" w:rsidR="004B31B3" w:rsidRPr="004B31B3" w:rsidRDefault="004B31B3" w:rsidP="004B31B3">
      <w:pPr>
        <w:pStyle w:val="BodyText"/>
      </w:pPr>
      <w:r>
        <w:t>The customer agrees to:</w:t>
      </w:r>
    </w:p>
    <w:p w14:paraId="499D3A51" w14:textId="5867D110" w:rsidR="00096B3F" w:rsidRPr="007B2CEF" w:rsidRDefault="00096B3F" w:rsidP="004B31B3">
      <w:pPr>
        <w:pStyle w:val="ListBullet"/>
      </w:pPr>
      <w:r w:rsidRPr="007B2CEF">
        <w:t xml:space="preserve">Follow </w:t>
      </w:r>
      <w:r>
        <w:t xml:space="preserve">procedures </w:t>
      </w:r>
      <w:r w:rsidR="003E245E">
        <w:t xml:space="preserve">for reporting issues and requesting support </w:t>
      </w:r>
      <w:r>
        <w:t xml:space="preserve">as </w:t>
      </w:r>
      <w:r w:rsidR="003E245E">
        <w:t>described</w:t>
      </w:r>
      <w:r w:rsidRPr="007B2CEF">
        <w:t>.</w:t>
      </w:r>
    </w:p>
    <w:p w14:paraId="71951DD6" w14:textId="48205732" w:rsidR="00D72979" w:rsidRDefault="00C93B4F" w:rsidP="004B31B3">
      <w:pPr>
        <w:pStyle w:val="ListBullet"/>
      </w:pPr>
      <w:r>
        <w:t>P</w:t>
      </w:r>
      <w:r w:rsidR="00096B3F" w:rsidRPr="007B2CEF">
        <w:t xml:space="preserve">rovide </w:t>
      </w:r>
      <w:r w:rsidR="004B31B3">
        <w:t xml:space="preserve">a timely response </w:t>
      </w:r>
      <w:r w:rsidR="00096B3F" w:rsidRPr="007B2CEF">
        <w:t xml:space="preserve">to </w:t>
      </w:r>
      <w:r w:rsidR="004B31B3">
        <w:t>OIT</w:t>
      </w:r>
      <w:r w:rsidR="00096B3F" w:rsidRPr="007B2CEF">
        <w:t xml:space="preserve"> </w:t>
      </w:r>
      <w:r>
        <w:t>when issues are being investigated/resolved</w:t>
      </w:r>
      <w:r w:rsidR="00096B3F" w:rsidRPr="007B2CEF">
        <w:t xml:space="preserve">. </w:t>
      </w:r>
    </w:p>
    <w:p w14:paraId="37FEB843" w14:textId="260A3743" w:rsidR="00B34A5B" w:rsidRDefault="00B34A5B" w:rsidP="004B31B3">
      <w:pPr>
        <w:pStyle w:val="ListBullet"/>
      </w:pPr>
      <w:r>
        <w:t>Engage OIT contact when/if a change in this agreement is desired.</w:t>
      </w:r>
    </w:p>
    <w:p w14:paraId="0D501B46" w14:textId="28B3027D" w:rsidR="008B5E22" w:rsidRPr="004B31B3" w:rsidRDefault="008B5E22" w:rsidP="004B31B3">
      <w:pPr>
        <w:pStyle w:val="ListBullet"/>
      </w:pPr>
      <w:r>
        <w:t>[List other responsibilities as appropriate for this SLA.]</w:t>
      </w:r>
    </w:p>
    <w:p w14:paraId="57FBFC3C" w14:textId="06BB34BC" w:rsidR="00096B3F" w:rsidRDefault="00401CEB" w:rsidP="004B31B3">
      <w:pPr>
        <w:pStyle w:val="Heading2"/>
      </w:pPr>
      <w:r>
        <w:t>OIT Responsibilities</w:t>
      </w:r>
    </w:p>
    <w:p w14:paraId="5DCAD4E1" w14:textId="77998F6B" w:rsidR="00A34F2A" w:rsidRPr="00A34F2A" w:rsidRDefault="00A34F2A" w:rsidP="00A34F2A">
      <w:pPr>
        <w:pStyle w:val="BodyText"/>
      </w:pPr>
      <w:r>
        <w:t>OIT agrees to:</w:t>
      </w:r>
    </w:p>
    <w:p w14:paraId="790860A3" w14:textId="1ADA6D1A" w:rsidR="00096B3F" w:rsidRPr="007B2CEF" w:rsidRDefault="00096B3F" w:rsidP="004B31B3">
      <w:pPr>
        <w:pStyle w:val="ListBullet"/>
      </w:pPr>
      <w:r w:rsidRPr="007B2CEF">
        <w:t xml:space="preserve">Meet or exceed response times associated with </w:t>
      </w:r>
      <w:r w:rsidR="008B5E22">
        <w:t xml:space="preserve">the urgency/priority associated with reported </w:t>
      </w:r>
      <w:r w:rsidRPr="007B2CEF">
        <w:t>customer issues.</w:t>
      </w:r>
    </w:p>
    <w:p w14:paraId="59969360" w14:textId="2B86ED36" w:rsidR="00096B3F" w:rsidRPr="007B2CEF" w:rsidRDefault="008B5E22" w:rsidP="004B31B3">
      <w:pPr>
        <w:pStyle w:val="ListBullet"/>
      </w:pPr>
      <w:r>
        <w:t>Maintain operational support for the services covered under this SLA. Communicate to customer any expected change in support processes.</w:t>
      </w:r>
      <w:r w:rsidR="00096B3F" w:rsidRPr="007B2CEF">
        <w:t xml:space="preserve"> </w:t>
      </w:r>
    </w:p>
    <w:p w14:paraId="318F68CB" w14:textId="72A9D2B5" w:rsidR="00096B3F" w:rsidRPr="007B2CEF" w:rsidRDefault="00096B3F" w:rsidP="004B31B3">
      <w:pPr>
        <w:pStyle w:val="ListBullet"/>
      </w:pPr>
      <w:r w:rsidRPr="007B2CEF">
        <w:t>Coordinate scheduled and unscheduled m</w:t>
      </w:r>
      <w:r w:rsidR="008B5E22">
        <w:t>aintenance (downtime) with the c</w:t>
      </w:r>
      <w:r w:rsidRPr="007B2CEF">
        <w:t>ustomer</w:t>
      </w:r>
      <w:r w:rsidR="008B5E22">
        <w:t xml:space="preserve"> in order to minimize interruptions to the business and services. </w:t>
      </w:r>
    </w:p>
    <w:p w14:paraId="65B4130E" w14:textId="02BAE253" w:rsidR="00096B3F" w:rsidRPr="007B2CEF" w:rsidRDefault="00096B3F" w:rsidP="004B31B3">
      <w:pPr>
        <w:pStyle w:val="ListBullet"/>
      </w:pPr>
      <w:r w:rsidRPr="007B2CEF">
        <w:t>Attend and partic</w:t>
      </w:r>
      <w:r w:rsidR="008B5E22">
        <w:t>ipate in meetings with the customer regarding services and support as requested</w:t>
      </w:r>
      <w:r w:rsidRPr="007B2CEF">
        <w:t>.</w:t>
      </w:r>
    </w:p>
    <w:p w14:paraId="484BE739" w14:textId="15A17AA7" w:rsidR="00096B3F" w:rsidRPr="007B2CEF" w:rsidRDefault="00096B3F" w:rsidP="004B31B3">
      <w:pPr>
        <w:pStyle w:val="ListBullet"/>
      </w:pPr>
      <w:r w:rsidRPr="007B2CEF">
        <w:lastRenderedPageBreak/>
        <w:t xml:space="preserve">Coordinate with </w:t>
      </w:r>
      <w:r w:rsidR="00C53554">
        <w:t xml:space="preserve">other internal </w:t>
      </w:r>
      <w:r w:rsidRPr="007B2CEF">
        <w:t xml:space="preserve">OIT </w:t>
      </w:r>
      <w:r w:rsidR="00C53554">
        <w:t>units to</w:t>
      </w:r>
      <w:r w:rsidR="00803B7D">
        <w:t xml:space="preserve"> [add or remove these as appropriate]</w:t>
      </w:r>
      <w:r w:rsidRPr="007B2CEF">
        <w:t xml:space="preserve">: </w:t>
      </w:r>
    </w:p>
    <w:p w14:paraId="22F263DB" w14:textId="386AF9BA" w:rsidR="00096B3F" w:rsidRPr="007B2CEF" w:rsidRDefault="00C53554" w:rsidP="00A34F2A">
      <w:pPr>
        <w:pStyle w:val="ListBullet"/>
        <w:numPr>
          <w:ilvl w:val="0"/>
          <w:numId w:val="22"/>
        </w:numPr>
        <w:ind w:left="1440"/>
      </w:pPr>
      <w:r>
        <w:t xml:space="preserve">Maintain </w:t>
      </w:r>
      <w:r w:rsidR="00803B7D">
        <w:t xml:space="preserve">enterprise-level operating system and application </w:t>
      </w:r>
      <w:r>
        <w:t xml:space="preserve">software </w:t>
      </w:r>
      <w:r w:rsidR="00096B3F" w:rsidRPr="007B2CEF">
        <w:t>licenses.</w:t>
      </w:r>
    </w:p>
    <w:p w14:paraId="47ED7C7C" w14:textId="58E9A2F4" w:rsidR="00096B3F" w:rsidRPr="007B2CEF" w:rsidRDefault="00803B7D" w:rsidP="00A34F2A">
      <w:pPr>
        <w:pStyle w:val="ListBullet"/>
        <w:numPr>
          <w:ilvl w:val="0"/>
          <w:numId w:val="22"/>
        </w:numPr>
        <w:ind w:left="1440"/>
      </w:pPr>
      <w:r>
        <w:t xml:space="preserve">Manage software updates (releases and patches) for enterprise OS and applications and coordinate updates with the customer. </w:t>
      </w:r>
    </w:p>
    <w:p w14:paraId="7CCD7629" w14:textId="1A7795C4" w:rsidR="00096B3F" w:rsidRPr="007B2CEF" w:rsidRDefault="00803B7D" w:rsidP="00A34F2A">
      <w:pPr>
        <w:pStyle w:val="ListBullet"/>
        <w:numPr>
          <w:ilvl w:val="0"/>
          <w:numId w:val="22"/>
        </w:numPr>
        <w:ind w:left="1440"/>
      </w:pPr>
      <w:r>
        <w:t>Escalate customer issues to appropriate second- and third-level support (beyond the Service Desk) when necessary.</w:t>
      </w:r>
      <w:r w:rsidR="00096B3F" w:rsidRPr="007B2CEF">
        <w:t xml:space="preserve"> </w:t>
      </w:r>
    </w:p>
    <w:p w14:paraId="713B1048" w14:textId="76E04AC6" w:rsidR="00096B3F" w:rsidRPr="007B2CEF" w:rsidRDefault="00803B7D" w:rsidP="00A34F2A">
      <w:pPr>
        <w:pStyle w:val="ListBullet"/>
        <w:numPr>
          <w:ilvl w:val="0"/>
          <w:numId w:val="22"/>
        </w:numPr>
        <w:ind w:left="1440"/>
      </w:pPr>
      <w:r>
        <w:t>Perform</w:t>
      </w:r>
      <w:r w:rsidR="00096B3F" w:rsidRPr="007B2CEF">
        <w:t xml:space="preserve"> preventive maintenance on system hardware.</w:t>
      </w:r>
    </w:p>
    <w:p w14:paraId="01EC9112" w14:textId="6B3735FF" w:rsidR="00096B3F" w:rsidRPr="007B2CEF" w:rsidRDefault="00803B7D" w:rsidP="00A34F2A">
      <w:pPr>
        <w:pStyle w:val="ListBullet"/>
        <w:numPr>
          <w:ilvl w:val="0"/>
          <w:numId w:val="22"/>
        </w:numPr>
        <w:ind w:left="1440"/>
      </w:pPr>
      <w:r>
        <w:t>Perform</w:t>
      </w:r>
      <w:r w:rsidR="00096B3F" w:rsidRPr="007B2CEF">
        <w:t xml:space="preserve"> scheduled backups</w:t>
      </w:r>
      <w:r>
        <w:t xml:space="preserve"> and coordinate data recovery when needed</w:t>
      </w:r>
      <w:r w:rsidR="00096B3F" w:rsidRPr="007B2CEF">
        <w:t>.</w:t>
      </w:r>
    </w:p>
    <w:p w14:paraId="4E103B1F" w14:textId="77777777" w:rsidR="005D1C3B" w:rsidRDefault="00803B7D" w:rsidP="00A34F2A">
      <w:pPr>
        <w:pStyle w:val="ListBullet"/>
        <w:numPr>
          <w:ilvl w:val="0"/>
          <w:numId w:val="22"/>
        </w:numPr>
        <w:ind w:left="1440"/>
      </w:pPr>
      <w:r>
        <w:t>Monitor</w:t>
      </w:r>
      <w:r w:rsidR="00096B3F" w:rsidRPr="007B2CEF">
        <w:t xml:space="preserve"> system utilization and performance</w:t>
      </w:r>
      <w:r>
        <w:t>; report and resolve issues.</w:t>
      </w:r>
    </w:p>
    <w:p w14:paraId="1787C73A" w14:textId="5D1AF392" w:rsidR="00096B3F" w:rsidRPr="00803B7D" w:rsidRDefault="005D1C3B" w:rsidP="005D1C3B">
      <w:pPr>
        <w:pStyle w:val="ListBullet"/>
      </w:pPr>
      <w:r>
        <w:t>[List other responsibilities as appropriate for this SLA.]</w:t>
      </w:r>
      <w:r w:rsidR="00803B7D">
        <w:t xml:space="preserve"> </w:t>
      </w:r>
    </w:p>
    <w:p w14:paraId="69E47E30" w14:textId="410EEBE1" w:rsidR="00747D08" w:rsidRDefault="00096A04" w:rsidP="00C8214E">
      <w:pPr>
        <w:pStyle w:val="Heading1"/>
      </w:pPr>
      <w:r>
        <w:t>Signatures</w:t>
      </w:r>
    </w:p>
    <w:p w14:paraId="548590C6" w14:textId="1F79CB70" w:rsidR="00401CEB" w:rsidRPr="00B85C92" w:rsidRDefault="00B85C92" w:rsidP="00B85C92">
      <w:pPr>
        <w:pStyle w:val="BodyText"/>
      </w:pPr>
      <w:r w:rsidRPr="00F649FE">
        <w:t xml:space="preserve">By signing below, </w:t>
      </w:r>
      <w:r>
        <w:t>the customer and OIT</w:t>
      </w:r>
      <w:r w:rsidRPr="00F649FE">
        <w:t xml:space="preserve"> agree to the terms </w:t>
      </w:r>
      <w:r>
        <w:t>of</w:t>
      </w:r>
      <w:r w:rsidRPr="00F649FE">
        <w:t xml:space="preserve"> this agreement.</w:t>
      </w:r>
      <w:r>
        <w:t xml:space="preserve"> To submit the signed agreement, scan and email it to the OIT contact below.</w:t>
      </w:r>
    </w:p>
    <w:tbl>
      <w:tblPr>
        <w:tblStyle w:val="MediumShading1-Accent1"/>
        <w:tblW w:w="8658" w:type="dxa"/>
        <w:tblLayout w:type="fixed"/>
        <w:tblLook w:val="0620" w:firstRow="1" w:lastRow="0" w:firstColumn="0" w:lastColumn="0" w:noHBand="1" w:noVBand="1"/>
      </w:tblPr>
      <w:tblGrid>
        <w:gridCol w:w="4338"/>
        <w:gridCol w:w="4320"/>
      </w:tblGrid>
      <w:tr w:rsidR="00401CEB" w:rsidRPr="007B2CEF" w14:paraId="5CCDE827" w14:textId="77777777" w:rsidTr="008375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4338" w:type="dxa"/>
          </w:tcPr>
          <w:p w14:paraId="626F42D8" w14:textId="77777777" w:rsidR="00401CEB" w:rsidRPr="000C64D4" w:rsidRDefault="00401CEB" w:rsidP="008375AB">
            <w:pPr>
              <w:snapToGrid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Customer</w:t>
            </w:r>
          </w:p>
        </w:tc>
        <w:tc>
          <w:tcPr>
            <w:tcW w:w="4320" w:type="dxa"/>
          </w:tcPr>
          <w:p w14:paraId="6164383A" w14:textId="77777777" w:rsidR="00401CEB" w:rsidRDefault="00401CEB" w:rsidP="008375AB">
            <w:pPr>
              <w:snapToGrid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OIT </w:t>
            </w:r>
          </w:p>
        </w:tc>
      </w:tr>
      <w:tr w:rsidR="00401CEB" w:rsidRPr="007B2CEF" w14:paraId="29EE6E2A" w14:textId="77777777" w:rsidTr="008375AB">
        <w:trPr>
          <w:trHeight w:val="255"/>
        </w:trPr>
        <w:tc>
          <w:tcPr>
            <w:tcW w:w="4338" w:type="dxa"/>
          </w:tcPr>
          <w:p w14:paraId="0FD3295E" w14:textId="77777777" w:rsidR="00CC7F07" w:rsidRDefault="00CC7F07" w:rsidP="00CC7F07">
            <w:pPr>
              <w:ind w:left="-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[Name, Title]</w:t>
            </w:r>
          </w:p>
          <w:p w14:paraId="32E6A7BB" w14:textId="77777777" w:rsidR="00CC7F07" w:rsidRDefault="00CC7F07" w:rsidP="00CC7F07">
            <w:pPr>
              <w:ind w:left="-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[Department]</w:t>
            </w:r>
          </w:p>
          <w:p w14:paraId="55BD8DB2" w14:textId="77777777" w:rsidR="00CC7F07" w:rsidRDefault="00CC7F07" w:rsidP="00CC7F07">
            <w:pPr>
              <w:ind w:left="-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[Email]</w:t>
            </w:r>
          </w:p>
          <w:p w14:paraId="3419AF2A" w14:textId="63F1BA8E" w:rsidR="00401CEB" w:rsidRPr="007B2CEF" w:rsidRDefault="00CC7F07" w:rsidP="00CC7F07">
            <w:pPr>
              <w:ind w:left="-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[Telephone]</w:t>
            </w:r>
          </w:p>
        </w:tc>
        <w:tc>
          <w:tcPr>
            <w:tcW w:w="4320" w:type="dxa"/>
          </w:tcPr>
          <w:p w14:paraId="36531D10" w14:textId="77777777" w:rsidR="00CC7F07" w:rsidRDefault="00CC7F07" w:rsidP="00CC7F07">
            <w:pPr>
              <w:ind w:left="122" w:right="1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[Name, Title]</w:t>
            </w:r>
          </w:p>
          <w:p w14:paraId="2D8ECDE6" w14:textId="77777777" w:rsidR="00CC7F07" w:rsidRDefault="00CC7F07" w:rsidP="00CC7F07">
            <w:pPr>
              <w:ind w:left="122" w:right="1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[OIT Unit]</w:t>
            </w:r>
          </w:p>
          <w:p w14:paraId="5A7DB749" w14:textId="77777777" w:rsidR="00CC7F07" w:rsidRDefault="00CC7F07" w:rsidP="00CC7F07">
            <w:pPr>
              <w:ind w:left="122" w:right="1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[Email]</w:t>
            </w:r>
          </w:p>
          <w:p w14:paraId="345131C0" w14:textId="23ED5758" w:rsidR="00401CEB" w:rsidRPr="00DC07F3" w:rsidRDefault="00CC7F07" w:rsidP="00CC7F07">
            <w:pPr>
              <w:ind w:left="122" w:right="1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[Telephone]</w:t>
            </w:r>
          </w:p>
        </w:tc>
      </w:tr>
      <w:tr w:rsidR="00401CEB" w:rsidRPr="007B2CEF" w14:paraId="5CDADDD5" w14:textId="77777777" w:rsidTr="00401CEB">
        <w:trPr>
          <w:trHeight w:val="907"/>
        </w:trPr>
        <w:tc>
          <w:tcPr>
            <w:tcW w:w="4338" w:type="dxa"/>
          </w:tcPr>
          <w:p w14:paraId="4662E6CF" w14:textId="537D163C" w:rsidR="00401CEB" w:rsidRDefault="00401CEB" w:rsidP="008375AB">
            <w:pPr>
              <w:ind w:left="-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Signature</w:t>
            </w:r>
          </w:p>
        </w:tc>
        <w:tc>
          <w:tcPr>
            <w:tcW w:w="4320" w:type="dxa"/>
          </w:tcPr>
          <w:p w14:paraId="5B3D61B9" w14:textId="00CADE2F" w:rsidR="00401CEB" w:rsidRDefault="00401CEB" w:rsidP="008375AB">
            <w:pPr>
              <w:ind w:left="122" w:right="1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Signature</w:t>
            </w:r>
          </w:p>
        </w:tc>
      </w:tr>
      <w:tr w:rsidR="00401CEB" w:rsidRPr="007B2CEF" w14:paraId="7F22B218" w14:textId="77777777" w:rsidTr="008375AB">
        <w:trPr>
          <w:trHeight w:val="255"/>
        </w:trPr>
        <w:tc>
          <w:tcPr>
            <w:tcW w:w="4338" w:type="dxa"/>
          </w:tcPr>
          <w:p w14:paraId="025F8267" w14:textId="71174D69" w:rsidR="00401CEB" w:rsidRDefault="00401CEB" w:rsidP="008375AB">
            <w:pPr>
              <w:ind w:left="-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  <w:tc>
          <w:tcPr>
            <w:tcW w:w="4320" w:type="dxa"/>
          </w:tcPr>
          <w:p w14:paraId="251A5B06" w14:textId="26019761" w:rsidR="00401CEB" w:rsidRDefault="00401CEB" w:rsidP="008375AB">
            <w:pPr>
              <w:ind w:left="122" w:right="10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</w:t>
            </w:r>
          </w:p>
        </w:tc>
      </w:tr>
    </w:tbl>
    <w:p w14:paraId="4C910186" w14:textId="7A516B2F" w:rsidR="005B2821" w:rsidRDefault="005B2821" w:rsidP="0036403A">
      <w:pPr>
        <w:rPr>
          <w:rFonts w:eastAsia="Times"/>
          <w:color w:val="000000"/>
          <w:szCs w:val="20"/>
        </w:rPr>
      </w:pPr>
    </w:p>
    <w:p w14:paraId="4EF2F53B" w14:textId="59B6C321" w:rsidR="00086075" w:rsidRDefault="00086075">
      <w:pPr>
        <w:rPr>
          <w:rFonts w:eastAsia="Times"/>
          <w:color w:val="000000"/>
          <w:szCs w:val="20"/>
        </w:rPr>
      </w:pPr>
      <w:r>
        <w:rPr>
          <w:rFonts w:eastAsia="Times"/>
          <w:color w:val="000000"/>
          <w:szCs w:val="20"/>
        </w:rPr>
        <w:br w:type="page"/>
      </w:r>
    </w:p>
    <w:p w14:paraId="2F534DF2" w14:textId="09266F0D" w:rsidR="00086075" w:rsidRDefault="00086075" w:rsidP="00086075">
      <w:pPr>
        <w:pStyle w:val="Title"/>
      </w:pPr>
      <w:r>
        <w:lastRenderedPageBreak/>
        <w:t xml:space="preserve">Appendix </w:t>
      </w:r>
      <w:r w:rsidR="001841B8">
        <w:t>[X]</w:t>
      </w:r>
      <w:bookmarkStart w:id="0" w:name="_GoBack"/>
      <w:bookmarkEnd w:id="0"/>
      <w:r>
        <w:t xml:space="preserve"> – Support Escalations and Response Times</w:t>
      </w:r>
    </w:p>
    <w:p w14:paraId="29E215B5" w14:textId="27D4D94D" w:rsidR="00086075" w:rsidRPr="00086075" w:rsidRDefault="005A7D3F" w:rsidP="0036403A">
      <w:pPr>
        <w:rPr>
          <w:rFonts w:eastAsia="Times"/>
          <w:i/>
          <w:color w:val="000000"/>
          <w:szCs w:val="20"/>
        </w:rPr>
      </w:pPr>
      <w:r>
        <w:rPr>
          <w:rFonts w:eastAsia="Times"/>
          <w:i/>
          <w:color w:val="000000"/>
          <w:szCs w:val="20"/>
        </w:rPr>
        <w:t>If more detail regarding escalations and response time is required, us</w:t>
      </w:r>
      <w:r w:rsidR="00086075" w:rsidRPr="00086075">
        <w:rPr>
          <w:rFonts w:eastAsia="Times"/>
          <w:i/>
          <w:color w:val="000000"/>
          <w:szCs w:val="20"/>
        </w:rPr>
        <w:t xml:space="preserve">e this </w:t>
      </w:r>
      <w:r>
        <w:rPr>
          <w:rFonts w:eastAsia="Times"/>
          <w:i/>
          <w:color w:val="000000"/>
          <w:szCs w:val="20"/>
        </w:rPr>
        <w:t xml:space="preserve">optional </w:t>
      </w:r>
      <w:r w:rsidR="00086075" w:rsidRPr="00086075">
        <w:rPr>
          <w:rFonts w:eastAsia="Times"/>
          <w:i/>
          <w:color w:val="000000"/>
          <w:szCs w:val="20"/>
        </w:rPr>
        <w:t xml:space="preserve">appendix to describe </w:t>
      </w:r>
      <w:r>
        <w:rPr>
          <w:rFonts w:eastAsia="Times"/>
          <w:i/>
          <w:color w:val="000000"/>
          <w:szCs w:val="20"/>
        </w:rPr>
        <w:t>service levels</w:t>
      </w:r>
      <w:r w:rsidR="00086075" w:rsidRPr="00086075">
        <w:rPr>
          <w:rFonts w:eastAsia="Times"/>
          <w:i/>
          <w:color w:val="000000"/>
          <w:szCs w:val="20"/>
        </w:rPr>
        <w:t xml:space="preserve"> the customer should expect.</w:t>
      </w:r>
      <w:r w:rsidR="00086075">
        <w:rPr>
          <w:rFonts w:eastAsia="Times"/>
          <w:i/>
          <w:color w:val="000000"/>
          <w:szCs w:val="20"/>
        </w:rPr>
        <w:t xml:space="preserve"> Sample verbiage is provided</w:t>
      </w:r>
      <w:r w:rsidR="00690DD7">
        <w:rPr>
          <w:rFonts w:eastAsia="Times"/>
          <w:i/>
          <w:color w:val="000000"/>
          <w:szCs w:val="20"/>
        </w:rPr>
        <w:t>; edit as appropriate</w:t>
      </w:r>
      <w:r w:rsidR="00086075">
        <w:rPr>
          <w:rFonts w:eastAsia="Times"/>
          <w:i/>
          <w:color w:val="000000"/>
          <w:szCs w:val="20"/>
        </w:rPr>
        <w:t>.</w:t>
      </w:r>
    </w:p>
    <w:p w14:paraId="68451287" w14:textId="77777777" w:rsidR="00086075" w:rsidRDefault="00086075" w:rsidP="00086075">
      <w:pPr>
        <w:pStyle w:val="Heading1"/>
      </w:pPr>
      <w:r>
        <w:t>Escalations</w:t>
      </w:r>
    </w:p>
    <w:p w14:paraId="68DE229B" w14:textId="3897F9D9" w:rsidR="00773B49" w:rsidRDefault="00086075" w:rsidP="00086075">
      <w:r>
        <w:t>If the Service Desk is unable to resolve the customer’s issue, they will assign the incident</w:t>
      </w:r>
      <w:r w:rsidR="00690DD7">
        <w:t xml:space="preserve"> (in Support@Duke)</w:t>
      </w:r>
      <w:r>
        <w:t xml:space="preserve"> to the </w:t>
      </w:r>
      <w:r w:rsidR="00690DD7">
        <w:t xml:space="preserve">customer’s local IT </w:t>
      </w:r>
      <w:r>
        <w:t xml:space="preserve">support </w:t>
      </w:r>
      <w:r w:rsidR="00690DD7">
        <w:t>group</w:t>
      </w:r>
      <w:r>
        <w:t>.</w:t>
      </w:r>
      <w:r w:rsidR="00690DD7">
        <w:t xml:space="preserve"> </w:t>
      </w:r>
      <w:r>
        <w:t xml:space="preserve">If </w:t>
      </w:r>
      <w:r w:rsidR="00690DD7">
        <w:t>local IT support</w:t>
      </w:r>
      <w:r>
        <w:t xml:space="preserve"> unable to resolve the request, the</w:t>
      </w:r>
      <w:r w:rsidR="00690DD7">
        <w:t xml:space="preserve">y will assign the </w:t>
      </w:r>
      <w:r>
        <w:t xml:space="preserve">incident to </w:t>
      </w:r>
      <w:r w:rsidR="00690DD7">
        <w:t xml:space="preserve">the </w:t>
      </w:r>
      <w:r w:rsidR="00773B49">
        <w:t>Tier 2</w:t>
      </w:r>
      <w:r w:rsidR="00690DD7">
        <w:t xml:space="preserve"> support [for example, OIT Collaborative Services] for </w:t>
      </w:r>
      <w:r>
        <w:t xml:space="preserve">additional troubleshooting. </w:t>
      </w:r>
      <w:r w:rsidR="00773B49">
        <w:t xml:space="preserve">If Tier 2 is unable to resolve the issue, they will assign the incident to Tier 3 support (for example, OIT Enterprise Internet Services) for additional troubleshooting. If applicable, Tier 3 support may engage a vendor to resolve the issue. </w:t>
      </w:r>
    </w:p>
    <w:p w14:paraId="0AE6DD16" w14:textId="77777777" w:rsidR="00773B49" w:rsidRDefault="00773B49" w:rsidP="00086075"/>
    <w:p w14:paraId="5B0DEE96" w14:textId="2DF9F25F" w:rsidR="00086075" w:rsidRDefault="002E5EA9" w:rsidP="00086075">
      <w:r>
        <w:t>If the assigned support group is able to solve the issue</w:t>
      </w:r>
      <w:r w:rsidR="00AD2FD3">
        <w:t xml:space="preserve">, with the exception of Tier 3, </w:t>
      </w:r>
      <w:r>
        <w:t xml:space="preserve">they will resolve the incident. If the issue is resolved at Tier 3, the Tier 3 group will reassign the ticket back to Tier 2 support; Tier 2 will contact the customer and resolve the incident. </w:t>
      </w:r>
    </w:p>
    <w:p w14:paraId="61677D98" w14:textId="2EF718FE" w:rsidR="00086075" w:rsidRDefault="00086075" w:rsidP="00086075">
      <w:pPr>
        <w:pStyle w:val="Heading1"/>
        <w:rPr>
          <w:rFonts w:eastAsia="Times"/>
        </w:rPr>
      </w:pPr>
      <w:r>
        <w:rPr>
          <w:rFonts w:eastAsia="Times"/>
        </w:rPr>
        <w:t>Response Times</w:t>
      </w:r>
    </w:p>
    <w:p w14:paraId="44F11603" w14:textId="3DDF736A" w:rsidR="00086075" w:rsidRDefault="00086075" w:rsidP="00086075">
      <w:pPr>
        <w:pStyle w:val="BodyText"/>
      </w:pPr>
      <w:r>
        <w:t>Customer response time</w:t>
      </w:r>
      <w:r w:rsidR="006B4202">
        <w:t xml:space="preserve">s are based on incident </w:t>
      </w:r>
      <w:r w:rsidR="00AD2FD3" w:rsidRPr="00AD2FD3">
        <w:rPr>
          <w:b/>
        </w:rPr>
        <w:t xml:space="preserve">Priority, </w:t>
      </w:r>
      <w:r w:rsidR="00AD2FD3">
        <w:t>which is pre-</w:t>
      </w:r>
      <w:r w:rsidR="006B4202">
        <w:t>configured in Support@Duke</w:t>
      </w:r>
      <w:r w:rsidR="00AD2FD3">
        <w:t>.</w:t>
      </w:r>
    </w:p>
    <w:p w14:paraId="6FE6544B" w14:textId="058AEA1B" w:rsidR="00086075" w:rsidRDefault="006B4202" w:rsidP="00086075">
      <w:pPr>
        <w:pStyle w:val="BodyText"/>
      </w:pPr>
      <w:r>
        <w:t xml:space="preserve">OIT Tier 2 groups </w:t>
      </w:r>
      <w:r w:rsidR="00086075">
        <w:t xml:space="preserve">will respond to </w:t>
      </w:r>
      <w:r>
        <w:t>Tier 1</w:t>
      </w:r>
      <w:r w:rsidR="00086075">
        <w:t xml:space="preserve"> based on the priority</w:t>
      </w:r>
      <w:r>
        <w:t xml:space="preserve"> assigned to the incident, as follows</w:t>
      </w:r>
      <w:r w:rsidR="00086075">
        <w:t>:</w:t>
      </w:r>
    </w:p>
    <w:p w14:paraId="723CADF7" w14:textId="6B02F367" w:rsidR="00086075" w:rsidRDefault="003B3AE5" w:rsidP="006B4202">
      <w:pPr>
        <w:pStyle w:val="BodyText"/>
        <w:numPr>
          <w:ilvl w:val="0"/>
          <w:numId w:val="24"/>
        </w:numPr>
      </w:pPr>
      <w:r>
        <w:t xml:space="preserve">4 </w:t>
      </w:r>
      <w:r w:rsidR="006B4202">
        <w:t>Low/</w:t>
      </w:r>
      <w:r>
        <w:t xml:space="preserve">3 </w:t>
      </w:r>
      <w:r w:rsidR="00086075">
        <w:t>Moderate</w:t>
      </w:r>
      <w:r>
        <w:t xml:space="preserve">: </w:t>
      </w:r>
      <w:r w:rsidR="00086075">
        <w:t xml:space="preserve"> </w:t>
      </w:r>
      <w:r>
        <w:t xml:space="preserve">Within </w:t>
      </w:r>
      <w:r w:rsidR="00086075">
        <w:t>8 hours (Monday – Friday</w:t>
      </w:r>
      <w:r>
        <w:t>,</w:t>
      </w:r>
      <w:r w:rsidR="00086075">
        <w:t xml:space="preserve"> 8</w:t>
      </w:r>
      <w:r>
        <w:t xml:space="preserve"> – 5PM</w:t>
      </w:r>
      <w:r w:rsidR="00086075">
        <w:t>)</w:t>
      </w:r>
    </w:p>
    <w:p w14:paraId="3CE4C219" w14:textId="3FD7B203" w:rsidR="00086075" w:rsidRPr="003B3AE5" w:rsidRDefault="003B3AE5" w:rsidP="00086075">
      <w:pPr>
        <w:pStyle w:val="BodyText"/>
        <w:numPr>
          <w:ilvl w:val="0"/>
          <w:numId w:val="24"/>
        </w:numPr>
      </w:pPr>
      <w:r>
        <w:t xml:space="preserve">2 High/1 Critical: Within </w:t>
      </w:r>
      <w:r w:rsidR="00086075">
        <w:t>1 hour (24x7</w:t>
      </w:r>
      <w:r>
        <w:t>)</w:t>
      </w:r>
      <w:r w:rsidR="00086075">
        <w:t xml:space="preserve"> </w:t>
      </w:r>
    </w:p>
    <w:sectPr w:rsidR="00086075" w:rsidRPr="003B3AE5" w:rsidSect="0072434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29058" w14:textId="77777777" w:rsidR="009E1A2D" w:rsidRDefault="009E1A2D">
      <w:r>
        <w:separator/>
      </w:r>
    </w:p>
  </w:endnote>
  <w:endnote w:type="continuationSeparator" w:id="0">
    <w:p w14:paraId="33D977D5" w14:textId="77777777" w:rsidR="009E1A2D" w:rsidRDefault="009E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AF078" w14:textId="77777777" w:rsidR="009E1A2D" w:rsidRPr="00561578" w:rsidRDefault="009E1A2D" w:rsidP="00112CAA">
    <w:pPr>
      <w:pStyle w:val="Footer"/>
      <w:rPr>
        <w:sz w:val="18"/>
        <w:szCs w:val="18"/>
      </w:rPr>
    </w:pPr>
    <w:r w:rsidRPr="00561578">
      <w:rPr>
        <w:sz w:val="18"/>
        <w:szCs w:val="18"/>
      </w:rPr>
      <w:tab/>
    </w:r>
    <w:r w:rsidRPr="00561578">
      <w:rPr>
        <w:rStyle w:val="PageNumber"/>
        <w:sz w:val="18"/>
        <w:szCs w:val="18"/>
      </w:rPr>
      <w:fldChar w:fldCharType="begin"/>
    </w:r>
    <w:r w:rsidRPr="00561578">
      <w:rPr>
        <w:rStyle w:val="PageNumber"/>
        <w:sz w:val="18"/>
        <w:szCs w:val="18"/>
      </w:rPr>
      <w:instrText xml:space="preserve"> PAGE </w:instrText>
    </w:r>
    <w:r w:rsidRPr="00561578">
      <w:rPr>
        <w:rStyle w:val="PageNumber"/>
        <w:sz w:val="18"/>
        <w:szCs w:val="18"/>
      </w:rPr>
      <w:fldChar w:fldCharType="separate"/>
    </w:r>
    <w:r w:rsidR="001841B8">
      <w:rPr>
        <w:rStyle w:val="PageNumber"/>
        <w:noProof/>
        <w:sz w:val="18"/>
        <w:szCs w:val="18"/>
      </w:rPr>
      <w:t>6</w:t>
    </w:r>
    <w:r w:rsidRPr="00561578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4DBD6" w14:textId="6A164E81" w:rsidR="009E1A2D" w:rsidRDefault="009E1A2D" w:rsidP="00724349">
    <w:pPr>
      <w:pStyle w:val="Footer"/>
      <w:ind w:right="360"/>
    </w:pPr>
    <w:r>
      <w:t xml:space="preserve">Rev. </w:t>
    </w:r>
    <w:fldSimple w:instr=" DATE  \* MERGEFORMAT ">
      <w:r>
        <w:rPr>
          <w:noProof/>
        </w:rPr>
        <w:t>2/18/14</w:t>
      </w:r>
    </w:fldSimple>
    <w:r>
      <w:tab/>
    </w:r>
    <w:r>
      <w:tab/>
      <w:t>Prepared by [name]</w:t>
    </w:r>
  </w:p>
  <w:p w14:paraId="2D228DB0" w14:textId="44559FBB" w:rsidR="009E1A2D" w:rsidRDefault="009E1A2D" w:rsidP="00112CAA">
    <w:pPr>
      <w:pStyle w:val="Footer"/>
      <w:tabs>
        <w:tab w:val="clear" w:pos="8640"/>
      </w:tabs>
      <w:jc w:val="right"/>
    </w:pPr>
    <w:r>
      <w:t>Office of Information Technology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3028" w14:textId="77777777" w:rsidR="009E1A2D" w:rsidRDefault="009E1A2D">
      <w:r>
        <w:separator/>
      </w:r>
    </w:p>
  </w:footnote>
  <w:footnote w:type="continuationSeparator" w:id="0">
    <w:p w14:paraId="07D1A5FB" w14:textId="77777777" w:rsidR="009E1A2D" w:rsidRDefault="009E1A2D">
      <w:r>
        <w:continuationSeparator/>
      </w:r>
    </w:p>
  </w:footnote>
  <w:footnote w:id="1">
    <w:p w14:paraId="54784429" w14:textId="675D4B77" w:rsidR="009E1A2D" w:rsidRPr="00901F41" w:rsidRDefault="009E1A2D">
      <w:pPr>
        <w:pStyle w:val="FootnoteText"/>
        <w:rPr>
          <w:sz w:val="18"/>
          <w:szCs w:val="18"/>
        </w:rPr>
      </w:pPr>
      <w:r w:rsidRPr="00901F41">
        <w:rPr>
          <w:rStyle w:val="FootnoteReference"/>
          <w:sz w:val="18"/>
          <w:szCs w:val="18"/>
        </w:rPr>
        <w:footnoteRef/>
      </w:r>
      <w:r w:rsidRPr="00901F41">
        <w:rPr>
          <w:sz w:val="18"/>
          <w:szCs w:val="18"/>
        </w:rPr>
        <w:t xml:space="preserve"> Explain what the service designation means to the customer in terms of downtime recovery targets and 24x7/8-5 support.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A7C6D" w14:textId="4D7F10D9" w:rsidR="009E1A2D" w:rsidRPr="006A6665" w:rsidRDefault="009E1A2D" w:rsidP="00E16FFC">
    <w:pPr>
      <w:pStyle w:val="Header"/>
      <w:jc w:val="right"/>
      <w:rPr>
        <w:b/>
      </w:rPr>
    </w:pPr>
    <w:r>
      <w:rPr>
        <w:b/>
      </w:rPr>
      <w:t>Service Level Agreement for [department/service]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CA9A3" w14:textId="77777777" w:rsidR="009E1A2D" w:rsidRDefault="009E1A2D" w:rsidP="00724349">
    <w:pPr>
      <w:pStyle w:val="Header"/>
      <w:jc w:val="center"/>
    </w:pPr>
    <w:r>
      <w:rPr>
        <w:noProof/>
      </w:rPr>
      <w:drawing>
        <wp:inline distT="0" distB="0" distL="0" distR="0" wp14:anchorId="7570EC36" wp14:editId="0822DC84">
          <wp:extent cx="1714500" cy="520700"/>
          <wp:effectExtent l="0" t="0" r="12700" b="12700"/>
          <wp:docPr id="1" name="Picture 1" descr="USE THIS ONE lrg_duke_univ_tagline_black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 THIS ONE lrg_duke_univ_tagline_black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56208">
      <w:rPr>
        <w:rFonts w:ascii="Arial" w:hAnsi="Arial"/>
      </w:rPr>
      <w:tab/>
    </w:r>
    <w:r w:rsidRPr="00156208"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4EA2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402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C64E5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5B2484"/>
    <w:multiLevelType w:val="hybridMultilevel"/>
    <w:tmpl w:val="7818CA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83784"/>
    <w:multiLevelType w:val="hybridMultilevel"/>
    <w:tmpl w:val="0F2A319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B00096D"/>
    <w:multiLevelType w:val="hybridMultilevel"/>
    <w:tmpl w:val="78A4CA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1D3EC7"/>
    <w:multiLevelType w:val="hybridMultilevel"/>
    <w:tmpl w:val="334C55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3535876"/>
    <w:multiLevelType w:val="hybridMultilevel"/>
    <w:tmpl w:val="CDCC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732"/>
    <w:multiLevelType w:val="hybridMultilevel"/>
    <w:tmpl w:val="D74A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7358A"/>
    <w:multiLevelType w:val="hybridMultilevel"/>
    <w:tmpl w:val="44A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57072"/>
    <w:multiLevelType w:val="hybridMultilevel"/>
    <w:tmpl w:val="3AFE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47F53"/>
    <w:multiLevelType w:val="hybridMultilevel"/>
    <w:tmpl w:val="EB38619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208B9"/>
    <w:multiLevelType w:val="hybridMultilevel"/>
    <w:tmpl w:val="A254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33490"/>
    <w:multiLevelType w:val="hybridMultilevel"/>
    <w:tmpl w:val="784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C5C4D"/>
    <w:multiLevelType w:val="hybridMultilevel"/>
    <w:tmpl w:val="85C2D19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BFF4099"/>
    <w:multiLevelType w:val="hybridMultilevel"/>
    <w:tmpl w:val="2C40FE2C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4D272959"/>
    <w:multiLevelType w:val="hybridMultilevel"/>
    <w:tmpl w:val="CF90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C5BFB"/>
    <w:multiLevelType w:val="hybridMultilevel"/>
    <w:tmpl w:val="CECE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B739B"/>
    <w:multiLevelType w:val="hybridMultilevel"/>
    <w:tmpl w:val="8FF671F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6973556"/>
    <w:multiLevelType w:val="hybridMultilevel"/>
    <w:tmpl w:val="A620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C1E5E"/>
    <w:multiLevelType w:val="hybridMultilevel"/>
    <w:tmpl w:val="51EA02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5A6050C9"/>
    <w:multiLevelType w:val="hybridMultilevel"/>
    <w:tmpl w:val="C87259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D125197"/>
    <w:multiLevelType w:val="hybridMultilevel"/>
    <w:tmpl w:val="C8CE09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F7F6884"/>
    <w:multiLevelType w:val="hybridMultilevel"/>
    <w:tmpl w:val="75F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D7B64"/>
    <w:multiLevelType w:val="hybridMultilevel"/>
    <w:tmpl w:val="0002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A06FB"/>
    <w:multiLevelType w:val="hybridMultilevel"/>
    <w:tmpl w:val="E17E26C0"/>
    <w:lvl w:ilvl="0" w:tplc="D82C9FE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12230"/>
    <w:multiLevelType w:val="hybridMultilevel"/>
    <w:tmpl w:val="A7D08A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F50561"/>
    <w:multiLevelType w:val="hybridMultilevel"/>
    <w:tmpl w:val="226293E0"/>
    <w:lvl w:ilvl="0" w:tplc="D82C9FE6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36570"/>
    <w:multiLevelType w:val="hybridMultilevel"/>
    <w:tmpl w:val="695A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3"/>
  </w:num>
  <w:num w:numId="5">
    <w:abstractNumId w:val="11"/>
  </w:num>
  <w:num w:numId="6">
    <w:abstractNumId w:val="26"/>
  </w:num>
  <w:num w:numId="7">
    <w:abstractNumId w:val="13"/>
  </w:num>
  <w:num w:numId="8">
    <w:abstractNumId w:val="16"/>
  </w:num>
  <w:num w:numId="9">
    <w:abstractNumId w:val="27"/>
  </w:num>
  <w:num w:numId="10">
    <w:abstractNumId w:val="25"/>
  </w:num>
  <w:num w:numId="11">
    <w:abstractNumId w:val="24"/>
  </w:num>
  <w:num w:numId="12">
    <w:abstractNumId w:val="8"/>
  </w:num>
  <w:num w:numId="13">
    <w:abstractNumId w:val="9"/>
  </w:num>
  <w:num w:numId="14">
    <w:abstractNumId w:val="23"/>
  </w:num>
  <w:num w:numId="15">
    <w:abstractNumId w:val="28"/>
  </w:num>
  <w:num w:numId="16">
    <w:abstractNumId w:val="17"/>
  </w:num>
  <w:num w:numId="17">
    <w:abstractNumId w:val="19"/>
  </w:num>
  <w:num w:numId="18">
    <w:abstractNumId w:val="20"/>
  </w:num>
  <w:num w:numId="19">
    <w:abstractNumId w:val="2"/>
  </w:num>
  <w:num w:numId="20">
    <w:abstractNumId w:val="1"/>
  </w:num>
  <w:num w:numId="21">
    <w:abstractNumId w:val="0"/>
  </w:num>
  <w:num w:numId="22">
    <w:abstractNumId w:val="5"/>
  </w:num>
  <w:num w:numId="23">
    <w:abstractNumId w:val="14"/>
  </w:num>
  <w:num w:numId="24">
    <w:abstractNumId w:val="6"/>
  </w:num>
  <w:num w:numId="25">
    <w:abstractNumId w:val="4"/>
  </w:num>
  <w:num w:numId="26">
    <w:abstractNumId w:val="12"/>
  </w:num>
  <w:num w:numId="27">
    <w:abstractNumId w:val="7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BD"/>
    <w:rsid w:val="000057F4"/>
    <w:rsid w:val="000456FC"/>
    <w:rsid w:val="000524DC"/>
    <w:rsid w:val="000601AE"/>
    <w:rsid w:val="00060833"/>
    <w:rsid w:val="00072329"/>
    <w:rsid w:val="00086075"/>
    <w:rsid w:val="00096A04"/>
    <w:rsid w:val="00096B3F"/>
    <w:rsid w:val="000A3E8F"/>
    <w:rsid w:val="000B323D"/>
    <w:rsid w:val="000B3C72"/>
    <w:rsid w:val="000B3F87"/>
    <w:rsid w:val="000C64D4"/>
    <w:rsid w:val="001101EF"/>
    <w:rsid w:val="001103C7"/>
    <w:rsid w:val="00112CAA"/>
    <w:rsid w:val="001323F9"/>
    <w:rsid w:val="00152148"/>
    <w:rsid w:val="00154B4E"/>
    <w:rsid w:val="00164828"/>
    <w:rsid w:val="00171052"/>
    <w:rsid w:val="001841B8"/>
    <w:rsid w:val="001B4CC5"/>
    <w:rsid w:val="002121F6"/>
    <w:rsid w:val="00223A1C"/>
    <w:rsid w:val="00230F89"/>
    <w:rsid w:val="00232764"/>
    <w:rsid w:val="00232E00"/>
    <w:rsid w:val="00245607"/>
    <w:rsid w:val="00262EF4"/>
    <w:rsid w:val="002E5EA9"/>
    <w:rsid w:val="003167B3"/>
    <w:rsid w:val="003205FE"/>
    <w:rsid w:val="003433C9"/>
    <w:rsid w:val="0034522F"/>
    <w:rsid w:val="00355E57"/>
    <w:rsid w:val="0036403A"/>
    <w:rsid w:val="003A3DD5"/>
    <w:rsid w:val="003A405F"/>
    <w:rsid w:val="003A696A"/>
    <w:rsid w:val="003B3AE5"/>
    <w:rsid w:val="003C4C52"/>
    <w:rsid w:val="003E0D66"/>
    <w:rsid w:val="003E245E"/>
    <w:rsid w:val="003E521F"/>
    <w:rsid w:val="003F086D"/>
    <w:rsid w:val="00401CEB"/>
    <w:rsid w:val="00404CA0"/>
    <w:rsid w:val="00405073"/>
    <w:rsid w:val="00417E5D"/>
    <w:rsid w:val="00436EB7"/>
    <w:rsid w:val="0048123D"/>
    <w:rsid w:val="00491E1B"/>
    <w:rsid w:val="004966BC"/>
    <w:rsid w:val="004B31B3"/>
    <w:rsid w:val="004B4D67"/>
    <w:rsid w:val="004C78E4"/>
    <w:rsid w:val="00546307"/>
    <w:rsid w:val="00573BD6"/>
    <w:rsid w:val="00573E9F"/>
    <w:rsid w:val="00587B07"/>
    <w:rsid w:val="005913F8"/>
    <w:rsid w:val="0059622D"/>
    <w:rsid w:val="005A7D3F"/>
    <w:rsid w:val="005B2821"/>
    <w:rsid w:val="005D1C3B"/>
    <w:rsid w:val="005D4358"/>
    <w:rsid w:val="005D51B6"/>
    <w:rsid w:val="005E347E"/>
    <w:rsid w:val="0062078B"/>
    <w:rsid w:val="00625640"/>
    <w:rsid w:val="0063020F"/>
    <w:rsid w:val="00641359"/>
    <w:rsid w:val="006546EB"/>
    <w:rsid w:val="00654B79"/>
    <w:rsid w:val="0067659E"/>
    <w:rsid w:val="00685EC8"/>
    <w:rsid w:val="00690DD7"/>
    <w:rsid w:val="006A6665"/>
    <w:rsid w:val="006B4202"/>
    <w:rsid w:val="006B760C"/>
    <w:rsid w:val="006C38D4"/>
    <w:rsid w:val="006D047A"/>
    <w:rsid w:val="006D4FFC"/>
    <w:rsid w:val="006D6DAA"/>
    <w:rsid w:val="006E1345"/>
    <w:rsid w:val="006E160B"/>
    <w:rsid w:val="006F732E"/>
    <w:rsid w:val="00724349"/>
    <w:rsid w:val="00733825"/>
    <w:rsid w:val="00741965"/>
    <w:rsid w:val="00747D08"/>
    <w:rsid w:val="007738C3"/>
    <w:rsid w:val="00773B49"/>
    <w:rsid w:val="007871D9"/>
    <w:rsid w:val="007A2C71"/>
    <w:rsid w:val="007A30BD"/>
    <w:rsid w:val="007B6E29"/>
    <w:rsid w:val="007D34F4"/>
    <w:rsid w:val="00803B7D"/>
    <w:rsid w:val="00807BB5"/>
    <w:rsid w:val="00830F81"/>
    <w:rsid w:val="008375AB"/>
    <w:rsid w:val="00841556"/>
    <w:rsid w:val="008504DC"/>
    <w:rsid w:val="00863BE7"/>
    <w:rsid w:val="008841F7"/>
    <w:rsid w:val="008A1905"/>
    <w:rsid w:val="008A43CF"/>
    <w:rsid w:val="008A724C"/>
    <w:rsid w:val="008B18E6"/>
    <w:rsid w:val="008B27D3"/>
    <w:rsid w:val="008B5E22"/>
    <w:rsid w:val="008B62A0"/>
    <w:rsid w:val="008C1F20"/>
    <w:rsid w:val="00901F41"/>
    <w:rsid w:val="00926915"/>
    <w:rsid w:val="009442B6"/>
    <w:rsid w:val="00956E2C"/>
    <w:rsid w:val="009644E5"/>
    <w:rsid w:val="00973E4D"/>
    <w:rsid w:val="00981C5C"/>
    <w:rsid w:val="009877AF"/>
    <w:rsid w:val="009B1857"/>
    <w:rsid w:val="009C7E34"/>
    <w:rsid w:val="009E1A2D"/>
    <w:rsid w:val="009F07AF"/>
    <w:rsid w:val="009F2127"/>
    <w:rsid w:val="00A037DD"/>
    <w:rsid w:val="00A05246"/>
    <w:rsid w:val="00A33E5D"/>
    <w:rsid w:val="00A34F2A"/>
    <w:rsid w:val="00A4207C"/>
    <w:rsid w:val="00A45FB4"/>
    <w:rsid w:val="00A53387"/>
    <w:rsid w:val="00A60BC0"/>
    <w:rsid w:val="00A80CB2"/>
    <w:rsid w:val="00A852D7"/>
    <w:rsid w:val="00AD2FD3"/>
    <w:rsid w:val="00AD4D53"/>
    <w:rsid w:val="00AD7E76"/>
    <w:rsid w:val="00B025D3"/>
    <w:rsid w:val="00B10163"/>
    <w:rsid w:val="00B176F0"/>
    <w:rsid w:val="00B34A5B"/>
    <w:rsid w:val="00B7110F"/>
    <w:rsid w:val="00B75519"/>
    <w:rsid w:val="00B85C92"/>
    <w:rsid w:val="00B95C97"/>
    <w:rsid w:val="00BA17BD"/>
    <w:rsid w:val="00BB03E7"/>
    <w:rsid w:val="00BB4994"/>
    <w:rsid w:val="00BC4216"/>
    <w:rsid w:val="00BD20FE"/>
    <w:rsid w:val="00C1752B"/>
    <w:rsid w:val="00C23241"/>
    <w:rsid w:val="00C260AC"/>
    <w:rsid w:val="00C36E4C"/>
    <w:rsid w:val="00C4241F"/>
    <w:rsid w:val="00C53554"/>
    <w:rsid w:val="00C5364A"/>
    <w:rsid w:val="00C8214E"/>
    <w:rsid w:val="00C93B4F"/>
    <w:rsid w:val="00C95478"/>
    <w:rsid w:val="00CB2794"/>
    <w:rsid w:val="00CC17A4"/>
    <w:rsid w:val="00CC7F07"/>
    <w:rsid w:val="00CD71C4"/>
    <w:rsid w:val="00CE356E"/>
    <w:rsid w:val="00CF5E22"/>
    <w:rsid w:val="00D72979"/>
    <w:rsid w:val="00DB353B"/>
    <w:rsid w:val="00DC07F3"/>
    <w:rsid w:val="00DF4302"/>
    <w:rsid w:val="00DF6682"/>
    <w:rsid w:val="00E07563"/>
    <w:rsid w:val="00E16FFC"/>
    <w:rsid w:val="00E170D6"/>
    <w:rsid w:val="00E30AEA"/>
    <w:rsid w:val="00E750C4"/>
    <w:rsid w:val="00E811DA"/>
    <w:rsid w:val="00E82E48"/>
    <w:rsid w:val="00E841C6"/>
    <w:rsid w:val="00E970AF"/>
    <w:rsid w:val="00EA6B20"/>
    <w:rsid w:val="00EC7FB8"/>
    <w:rsid w:val="00EE5190"/>
    <w:rsid w:val="00EE5E6F"/>
    <w:rsid w:val="00F06E9F"/>
    <w:rsid w:val="00F759B2"/>
    <w:rsid w:val="00F77292"/>
    <w:rsid w:val="00F7757C"/>
    <w:rsid w:val="00F81BC0"/>
    <w:rsid w:val="00F87C9B"/>
    <w:rsid w:val="00F91D37"/>
    <w:rsid w:val="00F91F88"/>
    <w:rsid w:val="00F92726"/>
    <w:rsid w:val="00F96BAD"/>
    <w:rsid w:val="00FA2AE0"/>
    <w:rsid w:val="00FD2DDF"/>
    <w:rsid w:val="00FD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27C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C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7757C"/>
    <w:pPr>
      <w:keepNext/>
      <w:spacing w:before="240" w:after="60"/>
      <w:outlineLvl w:val="0"/>
    </w:pPr>
    <w:rPr>
      <w:rFonts w:cs="Arial"/>
      <w:b/>
      <w:bCs/>
      <w:kern w:val="32"/>
      <w:sz w:val="24"/>
      <w:szCs w:val="28"/>
    </w:rPr>
  </w:style>
  <w:style w:type="paragraph" w:styleId="Heading2">
    <w:name w:val="heading 2"/>
    <w:basedOn w:val="Normal"/>
    <w:next w:val="Normal"/>
    <w:qFormat/>
    <w:rsid w:val="00747D08"/>
    <w:pPr>
      <w:keepNext/>
      <w:spacing w:before="12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747D08"/>
    <w:pPr>
      <w:keepNext/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3433C9"/>
    <w:pPr>
      <w:pBdr>
        <w:bottom w:val="single" w:sz="18" w:space="1" w:color="4F81BD"/>
      </w:pBdr>
      <w:spacing w:before="240" w:after="60"/>
      <w:outlineLvl w:val="0"/>
    </w:pPr>
    <w:rPr>
      <w:rFonts w:cs="Arial"/>
      <w:b/>
      <w:bCs/>
      <w:color w:val="4F81BD"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C260AC"/>
    <w:pPr>
      <w:autoSpaceDE w:val="0"/>
      <w:autoSpaceDN w:val="0"/>
      <w:adjustRightInd w:val="0"/>
      <w:spacing w:after="120" w:line="240" w:lineRule="atLeast"/>
    </w:pPr>
    <w:rPr>
      <w:rFonts w:eastAsia="Times"/>
      <w:color w:val="00000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4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420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nhideWhenUsed/>
    <w:rsid w:val="00F81BC0"/>
    <w:rPr>
      <w:color w:val="0000FF"/>
      <w:u w:val="single"/>
    </w:rPr>
  </w:style>
  <w:style w:type="table" w:styleId="MediumShading1-Accent1">
    <w:name w:val="Medium Shading 1 Accent 1"/>
    <w:basedOn w:val="TableNormal"/>
    <w:uiPriority w:val="63"/>
    <w:rsid w:val="00C260A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260A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ＭＳ ゴシック" w:hAnsi="Calibri" w:cs="Times New Roman"/>
        <w:b/>
        <w:bCs/>
      </w:rPr>
    </w:tblStylePr>
    <w:tblStylePr w:type="lastCol"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45FB4"/>
    <w:pPr>
      <w:suppressAutoHyphens/>
      <w:ind w:left="720"/>
      <w:contextualSpacing/>
    </w:pPr>
    <w:rPr>
      <w:rFonts w:ascii="Arial" w:hAnsi="Arial"/>
      <w:color w:val="141313"/>
      <w:kern w:val="40"/>
      <w:sz w:val="22"/>
      <w:szCs w:val="22"/>
      <w:lang w:eastAsia="ar-SA"/>
    </w:rPr>
  </w:style>
  <w:style w:type="paragraph" w:styleId="EndnoteText">
    <w:name w:val="endnote text"/>
    <w:basedOn w:val="Normal"/>
    <w:link w:val="EndnoteTextChar"/>
    <w:semiHidden/>
    <w:rsid w:val="00096B3F"/>
    <w:pPr>
      <w:suppressAutoHyphens/>
    </w:pPr>
    <w:rPr>
      <w:rFonts w:ascii="Arial" w:hAnsi="Arial"/>
      <w:color w:val="141313"/>
      <w:kern w:val="40"/>
      <w:sz w:val="22"/>
      <w:szCs w:val="22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096B3F"/>
    <w:rPr>
      <w:rFonts w:ascii="Arial" w:hAnsi="Arial"/>
      <w:color w:val="141313"/>
      <w:kern w:val="40"/>
      <w:sz w:val="22"/>
      <w:szCs w:val="22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6B3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6B3F"/>
    <w:rPr>
      <w:rFonts w:ascii="Calibri" w:hAnsi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5E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E5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E57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57"/>
    <w:rPr>
      <w:rFonts w:ascii="Calibri" w:hAnsi="Calibri"/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rsid w:val="004B31B3"/>
    <w:pPr>
      <w:numPr>
        <w:numId w:val="19"/>
      </w:numPr>
      <w:spacing w:after="120"/>
      <w:ind w:left="792"/>
      <w:contextualSpacing/>
    </w:pPr>
  </w:style>
  <w:style w:type="character" w:customStyle="1" w:styleId="BodyTextChar">
    <w:name w:val="Body Text Char"/>
    <w:basedOn w:val="DefaultParagraphFont"/>
    <w:link w:val="BodyText"/>
    <w:rsid w:val="004B31B3"/>
    <w:rPr>
      <w:rFonts w:ascii="Calibri" w:eastAsia="Times" w:hAnsi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901F4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1F41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01F41"/>
    <w:rPr>
      <w:vertAlign w:val="superscript"/>
    </w:rPr>
  </w:style>
  <w:style w:type="table" w:styleId="MediumShading2-Accent1">
    <w:name w:val="Medium Shading 2 Accent 1"/>
    <w:basedOn w:val="TableNormal"/>
    <w:uiPriority w:val="64"/>
    <w:rsid w:val="00A037D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57C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F7757C"/>
    <w:pPr>
      <w:keepNext/>
      <w:spacing w:before="240" w:after="60"/>
      <w:outlineLvl w:val="0"/>
    </w:pPr>
    <w:rPr>
      <w:rFonts w:cs="Arial"/>
      <w:b/>
      <w:bCs/>
      <w:kern w:val="32"/>
      <w:sz w:val="24"/>
      <w:szCs w:val="28"/>
    </w:rPr>
  </w:style>
  <w:style w:type="paragraph" w:styleId="Heading2">
    <w:name w:val="heading 2"/>
    <w:basedOn w:val="Normal"/>
    <w:next w:val="Normal"/>
    <w:qFormat/>
    <w:rsid w:val="00747D08"/>
    <w:pPr>
      <w:keepNext/>
      <w:spacing w:before="120" w:after="6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747D08"/>
    <w:pPr>
      <w:keepNext/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3433C9"/>
    <w:pPr>
      <w:pBdr>
        <w:bottom w:val="single" w:sz="18" w:space="1" w:color="4F81BD"/>
      </w:pBdr>
      <w:spacing w:before="240" w:after="60"/>
      <w:outlineLvl w:val="0"/>
    </w:pPr>
    <w:rPr>
      <w:rFonts w:cs="Arial"/>
      <w:b/>
      <w:bCs/>
      <w:color w:val="4F81BD"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C260AC"/>
    <w:pPr>
      <w:autoSpaceDE w:val="0"/>
      <w:autoSpaceDN w:val="0"/>
      <w:adjustRightInd w:val="0"/>
      <w:spacing w:after="120" w:line="240" w:lineRule="atLeast"/>
    </w:pPr>
    <w:rPr>
      <w:rFonts w:eastAsia="Times"/>
      <w:color w:val="000000"/>
      <w:szCs w:val="20"/>
    </w:r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42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420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nhideWhenUsed/>
    <w:rsid w:val="00F81BC0"/>
    <w:rPr>
      <w:color w:val="0000FF"/>
      <w:u w:val="single"/>
    </w:rPr>
  </w:style>
  <w:style w:type="table" w:styleId="MediumShading1-Accent1">
    <w:name w:val="Medium Shading 1 Accent 1"/>
    <w:basedOn w:val="TableNormal"/>
    <w:uiPriority w:val="63"/>
    <w:rsid w:val="00C260A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260A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ＭＳ ゴシック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ＭＳ ゴシック" w:hAnsi="Calibri" w:cs="Times New Roman"/>
        <w:b/>
        <w:bCs/>
      </w:rPr>
    </w:tblStylePr>
    <w:tblStylePr w:type="lastCol">
      <w:rPr>
        <w:rFonts w:ascii="Calibri" w:eastAsia="ＭＳ ゴシック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A45FB4"/>
    <w:pPr>
      <w:suppressAutoHyphens/>
      <w:ind w:left="720"/>
      <w:contextualSpacing/>
    </w:pPr>
    <w:rPr>
      <w:rFonts w:ascii="Arial" w:hAnsi="Arial"/>
      <w:color w:val="141313"/>
      <w:kern w:val="40"/>
      <w:sz w:val="22"/>
      <w:szCs w:val="22"/>
      <w:lang w:eastAsia="ar-SA"/>
    </w:rPr>
  </w:style>
  <w:style w:type="paragraph" w:styleId="EndnoteText">
    <w:name w:val="endnote text"/>
    <w:basedOn w:val="Normal"/>
    <w:link w:val="EndnoteTextChar"/>
    <w:semiHidden/>
    <w:rsid w:val="00096B3F"/>
    <w:pPr>
      <w:suppressAutoHyphens/>
    </w:pPr>
    <w:rPr>
      <w:rFonts w:ascii="Arial" w:hAnsi="Arial"/>
      <w:color w:val="141313"/>
      <w:kern w:val="40"/>
      <w:sz w:val="22"/>
      <w:szCs w:val="22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096B3F"/>
    <w:rPr>
      <w:rFonts w:ascii="Arial" w:hAnsi="Arial"/>
      <w:color w:val="141313"/>
      <w:kern w:val="40"/>
      <w:sz w:val="22"/>
      <w:szCs w:val="22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6B3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6B3F"/>
    <w:rPr>
      <w:rFonts w:ascii="Calibri" w:hAnsi="Calibr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5E5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E5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E57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5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57"/>
    <w:rPr>
      <w:rFonts w:ascii="Calibri" w:hAnsi="Calibri"/>
      <w:b/>
      <w:bCs/>
      <w:sz w:val="24"/>
      <w:szCs w:val="24"/>
    </w:rPr>
  </w:style>
  <w:style w:type="paragraph" w:styleId="ListBullet">
    <w:name w:val="List Bullet"/>
    <w:basedOn w:val="Normal"/>
    <w:uiPriority w:val="99"/>
    <w:unhideWhenUsed/>
    <w:rsid w:val="004B31B3"/>
    <w:pPr>
      <w:numPr>
        <w:numId w:val="19"/>
      </w:numPr>
      <w:spacing w:after="120"/>
      <w:ind w:left="792"/>
      <w:contextualSpacing/>
    </w:pPr>
  </w:style>
  <w:style w:type="character" w:customStyle="1" w:styleId="BodyTextChar">
    <w:name w:val="Body Text Char"/>
    <w:basedOn w:val="DefaultParagraphFont"/>
    <w:link w:val="BodyText"/>
    <w:rsid w:val="004B31B3"/>
    <w:rPr>
      <w:rFonts w:ascii="Calibri" w:eastAsia="Times" w:hAnsi="Calibri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901F41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1F41"/>
    <w:rPr>
      <w:rFonts w:ascii="Calibr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01F41"/>
    <w:rPr>
      <w:vertAlign w:val="superscript"/>
    </w:rPr>
  </w:style>
  <w:style w:type="table" w:styleId="MediumShading2-Accent1">
    <w:name w:val="Medium Shading 2 Accent 1"/>
    <w:basedOn w:val="TableNormal"/>
    <w:uiPriority w:val="64"/>
    <w:rsid w:val="00A037D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uke.service-now.com" TargetMode="External"/><Relationship Id="rId12" Type="http://schemas.openxmlformats.org/officeDocument/2006/relationships/hyperlink" Target="mailto:help@oit.duke.ed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duke.service-now.com" TargetMode="External"/><Relationship Id="rId10" Type="http://schemas.openxmlformats.org/officeDocument/2006/relationships/hyperlink" Target="mailto:help@oit.duk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B938FE-097A-8F40-9F01-BC05D35F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2271</Words>
  <Characters>11038</Characters>
  <Application>Microsoft Macintosh Word</Application>
  <DocSecurity>0</DocSecurity>
  <Lines>167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Duke University</Company>
  <LinksUpToDate>false</LinksUpToDate>
  <CharactersWithSpaces>13288</CharactersWithSpaces>
  <SharedDoc>false</SharedDoc>
  <HLinks>
    <vt:vector size="6" baseType="variant">
      <vt:variant>
        <vt:i4>1966083</vt:i4>
      </vt:variant>
      <vt:variant>
        <vt:i4>5308</vt:i4>
      </vt:variant>
      <vt:variant>
        <vt:i4>1025</vt:i4>
      </vt:variant>
      <vt:variant>
        <vt:i4>1</vt:i4>
      </vt:variant>
      <vt:variant>
        <vt:lpwstr>USE THIS ONE lrg_duke_univ_tagline_black_hr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subject/>
  <dc:creator>Isabel Huffman</dc:creator>
  <cp:keywords/>
  <dc:description/>
  <cp:lastModifiedBy>Isabel V Taylor</cp:lastModifiedBy>
  <cp:revision>35</cp:revision>
  <cp:lastPrinted>1904-01-01T00:00:00Z</cp:lastPrinted>
  <dcterms:created xsi:type="dcterms:W3CDTF">2014-02-18T15:57:00Z</dcterms:created>
  <dcterms:modified xsi:type="dcterms:W3CDTF">2014-02-25T17:49:00Z</dcterms:modified>
</cp:coreProperties>
</file>