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545B0" w14:textId="77777777" w:rsidR="00F405A7" w:rsidRDefault="00F405A7" w:rsidP="00D36B7A">
      <w:pPr>
        <w:jc w:val="center"/>
      </w:pPr>
      <w:bookmarkStart w:id="0" w:name="_GoBack"/>
      <w:bookmarkEnd w:id="0"/>
    </w:p>
    <w:p w14:paraId="55EF6C7E" w14:textId="77777777" w:rsidR="00F405A7" w:rsidRDefault="00F405A7" w:rsidP="00D36B7A">
      <w:pPr>
        <w:jc w:val="center"/>
      </w:pPr>
    </w:p>
    <w:p w14:paraId="5D220BC4" w14:textId="77777777" w:rsidR="00F405A7" w:rsidRDefault="00F405A7" w:rsidP="00D36B7A">
      <w:pPr>
        <w:jc w:val="center"/>
      </w:pPr>
    </w:p>
    <w:p w14:paraId="7E2A50EA" w14:textId="77777777" w:rsidR="00F405A7" w:rsidRDefault="00F405A7" w:rsidP="00D36B7A">
      <w:pPr>
        <w:jc w:val="center"/>
      </w:pPr>
    </w:p>
    <w:p w14:paraId="386F24BC" w14:textId="5FFD979D" w:rsidR="00F405A7" w:rsidRDefault="002852A8" w:rsidP="00D36B7A">
      <w:pPr>
        <w:jc w:val="center"/>
      </w:pPr>
      <w:r w:rsidRPr="00654CFB">
        <w:rPr>
          <w:noProof/>
        </w:rPr>
        <w:pict w14:anchorId="5D6AA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9.35pt;height:110pt;visibility:visible;mso-wrap-style:square">
            <v:imagedata r:id="rId8" o:title=""/>
          </v:shape>
        </w:pict>
      </w:r>
    </w:p>
    <w:p w14:paraId="1AE1005D" w14:textId="77777777" w:rsidR="00F405A7" w:rsidRDefault="00F405A7"/>
    <w:p w14:paraId="44D7AEE0" w14:textId="77777777" w:rsidR="00F405A7" w:rsidRDefault="00F405A7" w:rsidP="00D36B7A">
      <w:pPr>
        <w:jc w:val="center"/>
      </w:pPr>
    </w:p>
    <w:p w14:paraId="215C9EF8" w14:textId="77777777" w:rsidR="00F405A7" w:rsidRDefault="00F405A7" w:rsidP="00D36B7A">
      <w:pPr>
        <w:jc w:val="center"/>
      </w:pPr>
    </w:p>
    <w:p w14:paraId="794B5087" w14:textId="77777777" w:rsidR="00F405A7" w:rsidRDefault="00F405A7" w:rsidP="00D36B7A">
      <w:pPr>
        <w:jc w:val="center"/>
      </w:pPr>
    </w:p>
    <w:p w14:paraId="595D5356" w14:textId="77777777" w:rsidR="00F405A7" w:rsidRDefault="00F405A7" w:rsidP="00D36B7A">
      <w:pPr>
        <w:jc w:val="center"/>
      </w:pPr>
    </w:p>
    <w:p w14:paraId="6C52F3AA" w14:textId="77777777" w:rsidR="00F405A7" w:rsidRPr="00F405A7" w:rsidRDefault="00F405A7" w:rsidP="00D36B7A">
      <w:pPr>
        <w:jc w:val="center"/>
        <w:rPr>
          <w:rFonts w:ascii="Calibri" w:hAnsi="Calibri"/>
        </w:rPr>
      </w:pPr>
    </w:p>
    <w:p w14:paraId="455AB067" w14:textId="77777777" w:rsidR="00F405A7" w:rsidRPr="00F405A7" w:rsidRDefault="00F405A7" w:rsidP="00D36B7A">
      <w:pPr>
        <w:jc w:val="center"/>
        <w:rPr>
          <w:rFonts w:ascii="Calibri" w:hAnsi="Calibri"/>
          <w:sz w:val="28"/>
        </w:rPr>
      </w:pPr>
      <w:r w:rsidRPr="00F405A7">
        <w:rPr>
          <w:rFonts w:ascii="Calibri" w:hAnsi="Calibri"/>
          <w:sz w:val="28"/>
        </w:rPr>
        <w:t xml:space="preserve">Teaching Units for High School Science Developed by </w:t>
      </w:r>
    </w:p>
    <w:p w14:paraId="432E2BC5" w14:textId="77777777" w:rsidR="00F405A7" w:rsidRPr="00F405A7" w:rsidRDefault="00F405A7" w:rsidP="00D36B7A">
      <w:pPr>
        <w:jc w:val="center"/>
        <w:rPr>
          <w:rFonts w:ascii="Calibri" w:hAnsi="Calibri"/>
          <w:sz w:val="28"/>
        </w:rPr>
      </w:pPr>
    </w:p>
    <w:p w14:paraId="5D5201ED" w14:textId="77777777" w:rsidR="00F405A7" w:rsidRPr="00F405A7" w:rsidRDefault="00F405A7" w:rsidP="00D36B7A">
      <w:pPr>
        <w:jc w:val="center"/>
        <w:rPr>
          <w:rFonts w:ascii="Calibri" w:hAnsi="Calibri"/>
          <w:sz w:val="28"/>
        </w:rPr>
      </w:pPr>
      <w:r w:rsidRPr="00F405A7">
        <w:rPr>
          <w:rFonts w:ascii="Calibri" w:hAnsi="Calibri"/>
          <w:sz w:val="28"/>
        </w:rPr>
        <w:t>Duke University Graduate Students in Pharmacology 693/694</w:t>
      </w:r>
    </w:p>
    <w:p w14:paraId="2E20C760" w14:textId="77777777" w:rsidR="00F405A7" w:rsidRPr="00F405A7" w:rsidRDefault="00F405A7" w:rsidP="00D36B7A">
      <w:pPr>
        <w:jc w:val="center"/>
        <w:rPr>
          <w:rFonts w:ascii="Calibri" w:hAnsi="Calibri"/>
          <w:sz w:val="28"/>
        </w:rPr>
      </w:pPr>
    </w:p>
    <w:p w14:paraId="3A8D8564" w14:textId="77777777" w:rsidR="00F405A7" w:rsidRPr="00F405A7" w:rsidRDefault="00F405A7" w:rsidP="00D36B7A">
      <w:pPr>
        <w:jc w:val="center"/>
        <w:rPr>
          <w:rFonts w:ascii="Calibri" w:hAnsi="Calibri"/>
          <w:sz w:val="28"/>
        </w:rPr>
      </w:pPr>
      <w:r w:rsidRPr="00F405A7">
        <w:rPr>
          <w:rFonts w:ascii="Calibri" w:hAnsi="Calibri"/>
          <w:sz w:val="28"/>
        </w:rPr>
        <w:t xml:space="preserve"> Master of Arts in Teaching (MAT)</w:t>
      </w:r>
    </w:p>
    <w:p w14:paraId="62432D29" w14:textId="77777777" w:rsidR="00F405A7" w:rsidRDefault="00F405A7" w:rsidP="00D36B7A">
      <w:pPr>
        <w:jc w:val="center"/>
        <w:rPr>
          <w:sz w:val="28"/>
        </w:rPr>
      </w:pPr>
    </w:p>
    <w:p w14:paraId="462863F2" w14:textId="77777777" w:rsidR="00F405A7" w:rsidRDefault="00F405A7" w:rsidP="00D36B7A">
      <w:pPr>
        <w:jc w:val="center"/>
        <w:rPr>
          <w:sz w:val="28"/>
        </w:rPr>
      </w:pPr>
    </w:p>
    <w:p w14:paraId="168F23E4" w14:textId="77777777" w:rsidR="00F405A7" w:rsidRDefault="00F405A7" w:rsidP="00D36B7A">
      <w:pPr>
        <w:jc w:val="center"/>
        <w:rPr>
          <w:sz w:val="28"/>
        </w:rPr>
      </w:pPr>
    </w:p>
    <w:p w14:paraId="0C60A7AA" w14:textId="77777777" w:rsidR="00F405A7" w:rsidRDefault="00F405A7" w:rsidP="00D36B7A">
      <w:pPr>
        <w:jc w:val="center"/>
        <w:rPr>
          <w:sz w:val="28"/>
        </w:rPr>
      </w:pPr>
    </w:p>
    <w:p w14:paraId="730CE352" w14:textId="77777777" w:rsidR="00F405A7" w:rsidRDefault="002852A8" w:rsidP="00D36B7A">
      <w:pPr>
        <w:jc w:val="center"/>
        <w:rPr>
          <w:sz w:val="28"/>
        </w:rPr>
      </w:pPr>
      <w:hyperlink r:id="rId9" w:history="1">
        <w:r w:rsidR="00F405A7" w:rsidRPr="00654359">
          <w:rPr>
            <w:rStyle w:val="Hyperlink"/>
            <w:sz w:val="28"/>
          </w:rPr>
          <w:t>http://sites.duke.edu/rise/duke-courses/pharm-693694/</w:t>
        </w:r>
      </w:hyperlink>
    </w:p>
    <w:p w14:paraId="5079B454" w14:textId="77777777" w:rsidR="00F405A7" w:rsidRPr="00D36B7A" w:rsidRDefault="00F405A7" w:rsidP="00D36B7A">
      <w:pPr>
        <w:jc w:val="center"/>
        <w:rPr>
          <w:sz w:val="28"/>
        </w:rPr>
      </w:pPr>
    </w:p>
    <w:p w14:paraId="6807D7F3" w14:textId="77777777" w:rsidR="00F405A7" w:rsidRDefault="00F405A7" w:rsidP="00D36B7A">
      <w:pPr>
        <w:jc w:val="center"/>
      </w:pPr>
    </w:p>
    <w:p w14:paraId="0FF47287" w14:textId="77777777" w:rsidR="00F405A7" w:rsidRDefault="00F405A7" w:rsidP="00D36B7A">
      <w:pPr>
        <w:jc w:val="center"/>
      </w:pPr>
    </w:p>
    <w:p w14:paraId="2FDA5214" w14:textId="77777777" w:rsidR="00F405A7" w:rsidRDefault="00F405A7" w:rsidP="00D36B7A">
      <w:pPr>
        <w:jc w:val="center"/>
      </w:pPr>
    </w:p>
    <w:p w14:paraId="658B831C" w14:textId="77777777" w:rsidR="00F405A7" w:rsidRDefault="00F405A7" w:rsidP="00D36B7A">
      <w:pPr>
        <w:jc w:val="center"/>
      </w:pPr>
    </w:p>
    <w:p w14:paraId="3431ABB4" w14:textId="77777777" w:rsidR="00F405A7" w:rsidRDefault="00F405A7" w:rsidP="00D36B7A">
      <w:pPr>
        <w:jc w:val="center"/>
      </w:pPr>
    </w:p>
    <w:p w14:paraId="7094ECC2" w14:textId="77777777" w:rsidR="00F405A7" w:rsidRDefault="00F405A7" w:rsidP="00D36B7A">
      <w:pPr>
        <w:jc w:val="center"/>
      </w:pPr>
    </w:p>
    <w:p w14:paraId="1C4BBC8C" w14:textId="77777777" w:rsidR="00F405A7" w:rsidRDefault="00F405A7" w:rsidP="00D36B7A">
      <w:pPr>
        <w:jc w:val="center"/>
      </w:pPr>
    </w:p>
    <w:p w14:paraId="208D1A42" w14:textId="77777777" w:rsidR="00F405A7" w:rsidRDefault="00F405A7" w:rsidP="00D36B7A">
      <w:pPr>
        <w:jc w:val="center"/>
      </w:pPr>
    </w:p>
    <w:p w14:paraId="60350FD2" w14:textId="77777777" w:rsidR="00F405A7" w:rsidRDefault="00F405A7" w:rsidP="00D36B7A">
      <w:pPr>
        <w:jc w:val="center"/>
      </w:pPr>
    </w:p>
    <w:p w14:paraId="6EACCDD1" w14:textId="77777777" w:rsidR="00F405A7" w:rsidRDefault="00F405A7" w:rsidP="00D36B7A">
      <w:pPr>
        <w:jc w:val="center"/>
      </w:pPr>
    </w:p>
    <w:p w14:paraId="7660C5A8" w14:textId="77777777" w:rsidR="00F405A7" w:rsidRDefault="00F405A7" w:rsidP="00D36B7A">
      <w:pPr>
        <w:jc w:val="center"/>
      </w:pPr>
    </w:p>
    <w:p w14:paraId="798BAC3F" w14:textId="77777777" w:rsidR="00F405A7" w:rsidRDefault="00F405A7" w:rsidP="00D36B7A">
      <w:pPr>
        <w:jc w:val="center"/>
      </w:pPr>
    </w:p>
    <w:p w14:paraId="7E5BF494" w14:textId="77777777" w:rsidR="00F405A7" w:rsidRDefault="00F405A7" w:rsidP="00D36B7A">
      <w:pPr>
        <w:jc w:val="center"/>
      </w:pPr>
    </w:p>
    <w:p w14:paraId="28C2D02C" w14:textId="77777777" w:rsidR="00F405A7" w:rsidRDefault="00F405A7" w:rsidP="00D36B7A">
      <w:pPr>
        <w:jc w:val="center"/>
      </w:pPr>
    </w:p>
    <w:p w14:paraId="54B8EBF2" w14:textId="77777777" w:rsidR="00F405A7" w:rsidRDefault="00F405A7" w:rsidP="00D36B7A">
      <w:pPr>
        <w:jc w:val="center"/>
      </w:pPr>
    </w:p>
    <w:p w14:paraId="55407316" w14:textId="77777777" w:rsidR="00F405A7" w:rsidRDefault="00F405A7" w:rsidP="00D36B7A">
      <w:pPr>
        <w:jc w:val="center"/>
      </w:pPr>
    </w:p>
    <w:p w14:paraId="248BFA78" w14:textId="77777777" w:rsidR="00F405A7" w:rsidRDefault="00F405A7"/>
    <w:p w14:paraId="2914A184" w14:textId="77777777" w:rsidR="00F405A7" w:rsidRDefault="00F405A7"/>
    <w:p w14:paraId="17850937" w14:textId="77777777" w:rsidR="006053E8" w:rsidRPr="00F71B27" w:rsidRDefault="006053E8" w:rsidP="005A5DDF">
      <w:pPr>
        <w:jc w:val="center"/>
        <w:rPr>
          <w:b/>
          <w:sz w:val="28"/>
        </w:rPr>
      </w:pPr>
      <w:r w:rsidRPr="00F71B27">
        <w:rPr>
          <w:b/>
          <w:sz w:val="28"/>
        </w:rPr>
        <w:t>Daily Lesson Plan</w:t>
      </w:r>
    </w:p>
    <w:p w14:paraId="65BF48A9" w14:textId="77777777" w:rsidR="006053E8" w:rsidRDefault="00605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899"/>
        <w:gridCol w:w="450"/>
        <w:gridCol w:w="3240"/>
        <w:gridCol w:w="113"/>
        <w:gridCol w:w="3325"/>
      </w:tblGrid>
      <w:tr w:rsidR="006053E8" w:rsidRPr="005A5DDF" w14:paraId="3553D529" w14:textId="77777777" w:rsidTr="00595003">
        <w:tc>
          <w:tcPr>
            <w:tcW w:w="6138" w:type="dxa"/>
            <w:gridSpan w:val="4"/>
            <w:shd w:val="clear" w:color="auto" w:fill="C0C0C0"/>
          </w:tcPr>
          <w:p w14:paraId="765378BF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 xml:space="preserve">Course Name: </w:t>
            </w:r>
          </w:p>
        </w:tc>
        <w:tc>
          <w:tcPr>
            <w:tcW w:w="3438" w:type="dxa"/>
            <w:gridSpan w:val="2"/>
            <w:shd w:val="clear" w:color="auto" w:fill="C0C0C0"/>
          </w:tcPr>
          <w:p w14:paraId="7B4C332A" w14:textId="77777777" w:rsidR="006053E8" w:rsidRPr="005A5DDF" w:rsidRDefault="00841F06" w:rsidP="00841F06">
            <w:pPr>
              <w:rPr>
                <w:b/>
              </w:rPr>
            </w:pPr>
            <w:r>
              <w:rPr>
                <w:b/>
              </w:rPr>
              <w:sym w:font="Wingdings 2" w:char="F098"/>
            </w:r>
            <w:r w:rsidR="006053E8" w:rsidRPr="005A5DDF">
              <w:rPr>
                <w:b/>
              </w:rPr>
              <w:t xml:space="preserve"> Standard </w:t>
            </w:r>
            <w:r w:rsidR="00595003">
              <w:rPr>
                <w:b/>
              </w:rPr>
              <w:sym w:font="Wingdings 2" w:char="F099"/>
            </w:r>
            <w:r w:rsidR="006053E8" w:rsidRPr="005A5DDF">
              <w:rPr>
                <w:b/>
              </w:rPr>
              <w:t xml:space="preserve"> Honors </w:t>
            </w:r>
            <w:r>
              <w:rPr>
                <w:b/>
              </w:rPr>
              <w:sym w:font="Wingdings 2" w:char="F098"/>
            </w:r>
            <w:r w:rsidR="006053E8" w:rsidRPr="005A5DDF">
              <w:rPr>
                <w:b/>
              </w:rPr>
              <w:t xml:space="preserve"> AP</w:t>
            </w:r>
          </w:p>
        </w:tc>
      </w:tr>
      <w:tr w:rsidR="006053E8" w14:paraId="4180393F" w14:textId="77777777" w:rsidTr="00595003">
        <w:tc>
          <w:tcPr>
            <w:tcW w:w="6138" w:type="dxa"/>
            <w:gridSpan w:val="4"/>
            <w:shd w:val="clear" w:color="auto" w:fill="auto"/>
          </w:tcPr>
          <w:p w14:paraId="6C2545F5" w14:textId="77777777" w:rsidR="006053E8" w:rsidRDefault="006053E8" w:rsidP="00137C1E">
            <w:pPr>
              <w:ind w:left="1170" w:hanging="1170"/>
            </w:pPr>
            <w:r w:rsidRPr="005A5DDF">
              <w:rPr>
                <w:b/>
              </w:rPr>
              <w:t>Unit Title:</w:t>
            </w:r>
            <w:r w:rsidR="00595003">
              <w:rPr>
                <w:b/>
              </w:rPr>
              <w:t xml:space="preserve"> </w:t>
            </w:r>
            <w:r w:rsidR="00137C1E" w:rsidRPr="002852A8">
              <w:rPr>
                <w:rFonts w:ascii="Calibri" w:hAnsi="Calibri"/>
              </w:rPr>
              <w:t>Ecological Health of the Ellerbe Creek Watershed and its Environmental Implications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6CF9AD74" w14:textId="77777777" w:rsidR="006053E8" w:rsidRPr="005A5DDF" w:rsidRDefault="002A75A2" w:rsidP="00595003">
            <w:pPr>
              <w:rPr>
                <w:b/>
              </w:rPr>
            </w:pPr>
            <w:r>
              <w:rPr>
                <w:b/>
              </w:rPr>
              <w:t>Day</w:t>
            </w:r>
            <w:r w:rsidR="006053E8" w:rsidRPr="005A5DDF">
              <w:rPr>
                <w:b/>
              </w:rPr>
              <w:t xml:space="preserve">: </w:t>
            </w:r>
            <w:r w:rsidR="00575025">
              <w:rPr>
                <w:b/>
              </w:rPr>
              <w:t>9</w:t>
            </w:r>
            <w:r w:rsidR="00841F06">
              <w:rPr>
                <w:b/>
              </w:rPr>
              <w:t xml:space="preserve"> </w:t>
            </w:r>
            <w:r w:rsidR="00595003">
              <w:rPr>
                <w:b/>
              </w:rPr>
              <w:t>of 1</w:t>
            </w:r>
            <w:r w:rsidR="005F7457">
              <w:rPr>
                <w:b/>
              </w:rPr>
              <w:t>6</w:t>
            </w:r>
          </w:p>
        </w:tc>
      </w:tr>
      <w:tr w:rsidR="006053E8" w14:paraId="2F21746C" w14:textId="77777777" w:rsidTr="005A5DDF">
        <w:tc>
          <w:tcPr>
            <w:tcW w:w="9576" w:type="dxa"/>
            <w:gridSpan w:val="6"/>
            <w:shd w:val="clear" w:color="auto" w:fill="auto"/>
          </w:tcPr>
          <w:p w14:paraId="6F20F456" w14:textId="77777777" w:rsidR="006053E8" w:rsidRDefault="006053E8" w:rsidP="00C62F92">
            <w:pPr>
              <w:rPr>
                <w:b/>
              </w:rPr>
            </w:pPr>
            <w:r w:rsidRPr="005A5DDF">
              <w:rPr>
                <w:b/>
              </w:rPr>
              <w:t>Relevant NC Standard Course of Study Goal(s):</w:t>
            </w:r>
          </w:p>
          <w:p w14:paraId="5E4A67E6" w14:textId="77777777" w:rsidR="00C62F92" w:rsidRPr="00C62F92" w:rsidRDefault="00C62F92" w:rsidP="00C62F92">
            <w:pPr>
              <w:rPr>
                <w:b/>
              </w:rPr>
            </w:pPr>
          </w:p>
          <w:p w14:paraId="6780C8AE" w14:textId="77777777" w:rsidR="004A21CF" w:rsidRPr="005A5DDF" w:rsidRDefault="004A21CF" w:rsidP="004A21CF">
            <w:pPr>
              <w:rPr>
                <w:b/>
              </w:rPr>
            </w:pPr>
            <w:r>
              <w:rPr>
                <w:b/>
              </w:rPr>
              <w:t>NC SCOS</w:t>
            </w:r>
          </w:p>
          <w:p w14:paraId="529FAB27" w14:textId="77777777" w:rsidR="00C62F92" w:rsidRPr="006D639E" w:rsidRDefault="00C62F92" w:rsidP="00C62F92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Bio.2.1 </w:t>
            </w:r>
            <w:r>
              <w:rPr>
                <w:sz w:val="22"/>
              </w:rPr>
              <w:t>Analyze the interdependence of living organisms with their environment.</w:t>
            </w:r>
          </w:p>
          <w:p w14:paraId="5275DF3E" w14:textId="77777777" w:rsidR="004A21CF" w:rsidRPr="00A9590B" w:rsidRDefault="004A21CF" w:rsidP="004A21CF">
            <w:pPr>
              <w:tabs>
                <w:tab w:val="left" w:pos="360"/>
              </w:tabs>
              <w:ind w:left="1260"/>
              <w:rPr>
                <w:rFonts w:ascii="Calibri" w:hAnsi="Calibri" w:cs="Calibri"/>
                <w:sz w:val="22"/>
              </w:rPr>
            </w:pPr>
          </w:p>
          <w:p w14:paraId="0F0232D4" w14:textId="77777777" w:rsidR="00C62F92" w:rsidRPr="006D639E" w:rsidRDefault="00C62F92" w:rsidP="00C62F92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EEn.2.3 </w:t>
            </w:r>
            <w:r>
              <w:rPr>
                <w:sz w:val="22"/>
              </w:rPr>
              <w:t>Explain the structure and processes within the hydrosphere.</w:t>
            </w:r>
          </w:p>
          <w:p w14:paraId="6264B8AB" w14:textId="77777777" w:rsidR="00C62F92" w:rsidRPr="006D639E" w:rsidRDefault="00C62F92" w:rsidP="00C62F92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EEn.2.7 </w:t>
            </w:r>
            <w:r>
              <w:rPr>
                <w:sz w:val="22"/>
              </w:rPr>
              <w:t>Explain how the lithosphere, hydrosphere, and atmosphere individually and collectively affect the biosphere.</w:t>
            </w:r>
          </w:p>
          <w:p w14:paraId="4D0D672A" w14:textId="77777777" w:rsidR="004A21CF" w:rsidRDefault="004A21CF" w:rsidP="004A21CF">
            <w:pPr>
              <w:tabs>
                <w:tab w:val="left" w:pos="180"/>
              </w:tabs>
              <w:rPr>
                <w:rFonts w:ascii="Calibri" w:hAnsi="Calibri" w:cs="Calibri"/>
                <w:sz w:val="22"/>
              </w:rPr>
            </w:pPr>
          </w:p>
          <w:p w14:paraId="163B9771" w14:textId="77777777" w:rsidR="004A21CF" w:rsidRDefault="004A21CF" w:rsidP="004A21CF">
            <w:pPr>
              <w:rPr>
                <w:b/>
              </w:rPr>
            </w:pPr>
            <w:r>
              <w:rPr>
                <w:b/>
              </w:rPr>
              <w:t>CollegeBoard AP Standards</w:t>
            </w:r>
          </w:p>
          <w:p w14:paraId="072D9415" w14:textId="77777777" w:rsidR="00C62F92" w:rsidRDefault="00C62F92" w:rsidP="00C62F92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4.A </w:t>
            </w:r>
            <w:r>
              <w:rPr>
                <w:sz w:val="22"/>
              </w:rPr>
              <w:t>Interactions within biological systems lead to complex properties.</w:t>
            </w:r>
          </w:p>
          <w:p w14:paraId="7A96AEC9" w14:textId="77777777" w:rsidR="00C62F92" w:rsidRPr="00C62F92" w:rsidRDefault="00C62F92" w:rsidP="00C62F92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r w:rsidRPr="00C62F92">
              <w:rPr>
                <w:b/>
                <w:sz w:val="22"/>
              </w:rPr>
              <w:t xml:space="preserve">4.C </w:t>
            </w:r>
            <w:r w:rsidRPr="00C62F92">
              <w:rPr>
                <w:sz w:val="22"/>
              </w:rPr>
              <w:t>Naturally occurring diversity among and between components within biological systems affects interactions with the environment.</w:t>
            </w:r>
          </w:p>
          <w:p w14:paraId="01BC47F7" w14:textId="77777777" w:rsidR="004A21CF" w:rsidRPr="00137C1E" w:rsidRDefault="004A21CF" w:rsidP="004A21CF">
            <w:pPr>
              <w:tabs>
                <w:tab w:val="left" w:pos="180"/>
              </w:tabs>
              <w:rPr>
                <w:rFonts w:ascii="Calibri" w:hAnsi="Calibri" w:cs="Calibri"/>
                <w:sz w:val="22"/>
              </w:rPr>
            </w:pPr>
          </w:p>
        </w:tc>
      </w:tr>
      <w:tr w:rsidR="006053E8" w14:paraId="0033E49D" w14:textId="77777777" w:rsidTr="005A5DDF">
        <w:tc>
          <w:tcPr>
            <w:tcW w:w="9576" w:type="dxa"/>
            <w:gridSpan w:val="6"/>
            <w:shd w:val="clear" w:color="auto" w:fill="C0C0C0"/>
          </w:tcPr>
          <w:p w14:paraId="317C14BA" w14:textId="77777777" w:rsidR="006053E8" w:rsidRPr="005A5DDF" w:rsidRDefault="006053E8" w:rsidP="005A5DDF">
            <w:pPr>
              <w:tabs>
                <w:tab w:val="left" w:pos="2752"/>
                <w:tab w:val="center" w:pos="4680"/>
              </w:tabs>
              <w:jc w:val="center"/>
              <w:rPr>
                <w:b/>
              </w:rPr>
            </w:pPr>
            <w:r w:rsidRPr="005A5DDF">
              <w:rPr>
                <w:b/>
              </w:rPr>
              <w:t>Specific Lesson Objectives</w:t>
            </w:r>
          </w:p>
        </w:tc>
      </w:tr>
      <w:tr w:rsidR="006053E8" w14:paraId="17C0CB4F" w14:textId="77777777" w:rsidTr="005A5DDF">
        <w:tc>
          <w:tcPr>
            <w:tcW w:w="9576" w:type="dxa"/>
            <w:gridSpan w:val="6"/>
            <w:shd w:val="clear" w:color="auto" w:fill="auto"/>
          </w:tcPr>
          <w:p w14:paraId="61D6019F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>Students will understand:</w:t>
            </w:r>
          </w:p>
          <w:p w14:paraId="6A091F81" w14:textId="77777777" w:rsidR="004A21CF" w:rsidRPr="004A21CF" w:rsidRDefault="004A21CF" w:rsidP="004A21C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Human activities (including population growth, urbanization, pollution, global warming, burning of fossil fuels, habitat destruction, and introduction of non-native species) may impact the environment from one generation to the next.</w:t>
            </w:r>
          </w:p>
          <w:p w14:paraId="7B0A91EB" w14:textId="77777777" w:rsidR="004A21CF" w:rsidRDefault="004A21CF" w:rsidP="004A21CF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Sustainable agriculture and aquaculture practices have environmental impacts.</w:t>
            </w:r>
          </w:p>
          <w:p w14:paraId="5F8CE073" w14:textId="77777777" w:rsidR="004A21CF" w:rsidRDefault="004A21CF" w:rsidP="004A21CF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The development and implementation of environmental policy is a complex issue.</w:t>
            </w:r>
          </w:p>
          <w:p w14:paraId="3A8B9430" w14:textId="77777777" w:rsidR="006053E8" w:rsidRPr="006C3C6F" w:rsidRDefault="006C3C6F" w:rsidP="006C3C6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Humans influence freshwater availability and quality in North Carolina’s river basins, wetlands, and tidal environments.</w:t>
            </w:r>
          </w:p>
        </w:tc>
      </w:tr>
      <w:tr w:rsidR="006053E8" w14:paraId="1F837F3D" w14:textId="77777777" w:rsidTr="005A5DDF">
        <w:tc>
          <w:tcPr>
            <w:tcW w:w="9576" w:type="dxa"/>
            <w:gridSpan w:val="6"/>
            <w:shd w:val="clear" w:color="auto" w:fill="auto"/>
          </w:tcPr>
          <w:p w14:paraId="5A444F51" w14:textId="77777777" w:rsidR="006053E8" w:rsidRPr="00595003" w:rsidRDefault="006053E8">
            <w:pPr>
              <w:rPr>
                <w:b/>
              </w:rPr>
            </w:pPr>
            <w:r w:rsidRPr="00595003">
              <w:rPr>
                <w:b/>
              </w:rPr>
              <w:t>Students will know:</w:t>
            </w:r>
          </w:p>
          <w:p w14:paraId="09A3CA6B" w14:textId="77777777" w:rsidR="006C3C6F" w:rsidRPr="002D6372" w:rsidRDefault="006C3C6F" w:rsidP="006C3C6F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How humans modify ecosystems through population growth, technology, resource consumption, and production of waste</w:t>
            </w:r>
          </w:p>
          <w:p w14:paraId="6B99253D" w14:textId="77777777" w:rsidR="006C3C6F" w:rsidRPr="002D6372" w:rsidRDefault="006C3C6F" w:rsidP="006C3C6F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That urban development in the North Carolina Piedmont leads to habitat destruction and urban runoff</w:t>
            </w:r>
          </w:p>
          <w:p w14:paraId="6D36821A" w14:textId="77777777" w:rsidR="006C3C6F" w:rsidRPr="002D6372" w:rsidRDefault="006C3C6F" w:rsidP="006C3C6F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Local environmental policies and organizations striving for effective conservation methods and stewardship</w:t>
            </w:r>
          </w:p>
          <w:p w14:paraId="5F2A23D8" w14:textId="77777777" w:rsidR="006C3C6F" w:rsidRPr="002D6372" w:rsidRDefault="006C3C6F" w:rsidP="006C3C6F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How humans and other species manipulate and impact freshwater ecosystems for use and consumption</w:t>
            </w:r>
          </w:p>
          <w:p w14:paraId="6EADEDCF" w14:textId="77777777" w:rsidR="006C3C6F" w:rsidRPr="000C6826" w:rsidRDefault="006C3C6F" w:rsidP="006C3C6F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How to evaluate the quality of North Carolina streams (chemical &amp; physical properties and biotic indices)</w:t>
            </w:r>
          </w:p>
          <w:p w14:paraId="2188FDF6" w14:textId="77777777" w:rsidR="006053E8" w:rsidRPr="006C3C6F" w:rsidRDefault="006C3C6F" w:rsidP="006C3C6F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Non-point sources of pollution</w:t>
            </w:r>
          </w:p>
        </w:tc>
      </w:tr>
      <w:tr w:rsidR="006053E8" w14:paraId="256DEB6C" w14:textId="77777777" w:rsidTr="005A5DDF">
        <w:tc>
          <w:tcPr>
            <w:tcW w:w="9576" w:type="dxa"/>
            <w:gridSpan w:val="6"/>
            <w:shd w:val="clear" w:color="auto" w:fill="auto"/>
          </w:tcPr>
          <w:p w14:paraId="12B51BD5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 xml:space="preserve">Students will be able to: </w:t>
            </w:r>
          </w:p>
          <w:p w14:paraId="48F97798" w14:textId="77777777" w:rsidR="006053E8" w:rsidRPr="006C3C6F" w:rsidRDefault="006C3C6F" w:rsidP="006C3C6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methodology for stream sampling</w:t>
            </w:r>
          </w:p>
        </w:tc>
      </w:tr>
      <w:tr w:rsidR="006053E8" w14:paraId="1D21333D" w14:textId="77777777" w:rsidTr="005A5DDF">
        <w:tc>
          <w:tcPr>
            <w:tcW w:w="9576" w:type="dxa"/>
            <w:gridSpan w:val="6"/>
            <w:shd w:val="clear" w:color="auto" w:fill="C0C0C0"/>
          </w:tcPr>
          <w:p w14:paraId="04ED429D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Key Vocabulary for this Lesson</w:t>
            </w:r>
          </w:p>
        </w:tc>
      </w:tr>
      <w:tr w:rsidR="006053E8" w14:paraId="6DC2955F" w14:textId="77777777" w:rsidTr="005A5DDF">
        <w:tc>
          <w:tcPr>
            <w:tcW w:w="9576" w:type="dxa"/>
            <w:gridSpan w:val="6"/>
            <w:shd w:val="clear" w:color="auto" w:fill="auto"/>
          </w:tcPr>
          <w:p w14:paraId="1DB77976" w14:textId="77777777" w:rsidR="006C3C6F" w:rsidRPr="002852A8" w:rsidRDefault="00C62F92" w:rsidP="006C3C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Macroinvertebrates             •     Biotic Index             •     Stream buffer             •     Stream profile</w:t>
            </w:r>
          </w:p>
          <w:p w14:paraId="22BB7697" w14:textId="77777777" w:rsidR="00C62F92" w:rsidRPr="002852A8" w:rsidRDefault="00C62F92" w:rsidP="006C3C6F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Dissolved oxygen                  •     Nitrogen                   •     Turbidity                     •     Debris</w:t>
            </w:r>
          </w:p>
          <w:p w14:paraId="0CC146B7" w14:textId="77777777" w:rsidR="00C62F92" w:rsidRPr="002852A8" w:rsidRDefault="00C62F92" w:rsidP="00C62F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Phosphorous                         •     Pharmaceuticals     •     Detergent                    •     pH</w:t>
            </w:r>
          </w:p>
        </w:tc>
      </w:tr>
      <w:tr w:rsidR="006053E8" w14:paraId="7E69D67C" w14:textId="77777777" w:rsidTr="005A5DDF">
        <w:tc>
          <w:tcPr>
            <w:tcW w:w="9576" w:type="dxa"/>
            <w:gridSpan w:val="6"/>
            <w:shd w:val="clear" w:color="auto" w:fill="C0C0C0"/>
          </w:tcPr>
          <w:p w14:paraId="5CE954DF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lastRenderedPageBreak/>
              <w:t>Materials</w:t>
            </w:r>
          </w:p>
        </w:tc>
      </w:tr>
      <w:tr w:rsidR="006053E8" w:rsidRPr="00595003" w14:paraId="3BE2449A" w14:textId="77777777" w:rsidTr="005A5DDF">
        <w:tc>
          <w:tcPr>
            <w:tcW w:w="9576" w:type="dxa"/>
            <w:gridSpan w:val="6"/>
            <w:shd w:val="clear" w:color="auto" w:fill="auto"/>
          </w:tcPr>
          <w:p w14:paraId="3D564D55" w14:textId="77777777" w:rsidR="00AF5F12" w:rsidRPr="00AF5F12" w:rsidRDefault="00C62F92" w:rsidP="00AF5F12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Lab notebooks</w:t>
            </w:r>
            <w:r w:rsidRPr="002852A8">
              <w:rPr>
                <w:rFonts w:ascii="Calibri" w:hAnsi="Calibri"/>
                <w:sz w:val="22"/>
                <w:szCs w:val="22"/>
              </w:rPr>
              <w:t xml:space="preserve">                      •     Kick nets                   •     </w:t>
            </w:r>
            <w:r w:rsidR="00AF5F12" w:rsidRPr="002852A8">
              <w:rPr>
                <w:rFonts w:ascii="Calibri" w:hAnsi="Calibri"/>
                <w:sz w:val="22"/>
                <w:szCs w:val="22"/>
              </w:rPr>
              <w:t>White bowls               •     Tweezers</w:t>
            </w:r>
          </w:p>
          <w:p w14:paraId="32E17A24" w14:textId="77777777" w:rsidR="00AF5F12" w:rsidRPr="00AF5F12" w:rsidRDefault="00C62F92" w:rsidP="00137C1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Writing </w:t>
            </w:r>
            <w:r w:rsidR="00AF5F12">
              <w:rPr>
                <w:rFonts w:ascii="Calibri" w:hAnsi="Calibri" w:cs="Calibri"/>
                <w:sz w:val="22"/>
              </w:rPr>
              <w:t>utensils</w:t>
            </w:r>
            <w:r w:rsidR="00AF5F12" w:rsidRPr="002852A8">
              <w:rPr>
                <w:rFonts w:ascii="Calibri" w:hAnsi="Calibri"/>
                <w:sz w:val="22"/>
                <w:szCs w:val="22"/>
              </w:rPr>
              <w:t xml:space="preserve">             •     Collection vials for water       •     Cameras</w:t>
            </w:r>
            <w:r w:rsidR="00900186" w:rsidRPr="002852A8">
              <w:rPr>
                <w:rFonts w:ascii="Calibri" w:hAnsi="Calibri"/>
                <w:sz w:val="22"/>
                <w:szCs w:val="22"/>
              </w:rPr>
              <w:t>*</w:t>
            </w:r>
            <w:r w:rsidR="00AF5F12" w:rsidRPr="002852A8">
              <w:rPr>
                <w:rFonts w:ascii="Calibri" w:hAnsi="Calibri"/>
                <w:sz w:val="22"/>
                <w:szCs w:val="22"/>
              </w:rPr>
              <w:t xml:space="preserve">         •     Field measuring tapes</w:t>
            </w:r>
          </w:p>
          <w:p w14:paraId="0F177CC4" w14:textId="77777777" w:rsidR="00AF5F12" w:rsidRPr="00D86BCC" w:rsidRDefault="00AF5F12" w:rsidP="00137C1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Secchi  disc       </w:t>
            </w:r>
            <w:r w:rsidRPr="002852A8">
              <w:rPr>
                <w:rFonts w:ascii="Calibri" w:hAnsi="Calibri"/>
                <w:sz w:val="22"/>
                <w:szCs w:val="22"/>
              </w:rPr>
              <w:t xml:space="preserve">              •     Meter sticks</w:t>
            </w:r>
            <w:r w:rsidR="00900186" w:rsidRPr="002852A8">
              <w:rPr>
                <w:rFonts w:ascii="Calibri" w:hAnsi="Calibri"/>
                <w:sz w:val="22"/>
                <w:szCs w:val="22"/>
              </w:rPr>
              <w:t xml:space="preserve">                              •     Rubber waders*</w:t>
            </w:r>
          </w:p>
          <w:p w14:paraId="131A1BD6" w14:textId="77777777" w:rsidR="00D86BCC" w:rsidRPr="00AF5F12" w:rsidRDefault="00D86BCC" w:rsidP="00137C1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Biotic index cards          •     Macroinvertebrate foldable*</w:t>
            </w:r>
          </w:p>
          <w:p w14:paraId="6BAA8FCB" w14:textId="77777777" w:rsidR="00AF5F12" w:rsidRPr="00AF5F12" w:rsidRDefault="00AF5F12" w:rsidP="00137C1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Digital multi-meters (or other tools for measur</w:t>
            </w:r>
            <w:r w:rsidR="00900186" w:rsidRPr="002852A8">
              <w:rPr>
                <w:rFonts w:ascii="Calibri" w:hAnsi="Calibri"/>
                <w:sz w:val="22"/>
                <w:szCs w:val="22"/>
              </w:rPr>
              <w:t>e</w:t>
            </w:r>
            <w:r w:rsidRPr="002852A8">
              <w:rPr>
                <w:rFonts w:ascii="Calibri" w:hAnsi="Calibri"/>
                <w:sz w:val="22"/>
                <w:szCs w:val="22"/>
              </w:rPr>
              <w:t xml:space="preserve"> DO, temp, pH, nitrogen, phosphorous</w:t>
            </w:r>
            <w:r w:rsidR="00900186" w:rsidRPr="002852A8">
              <w:rPr>
                <w:rFonts w:ascii="Calibri" w:hAnsi="Calibri"/>
                <w:sz w:val="22"/>
                <w:szCs w:val="22"/>
              </w:rPr>
              <w:t>)</w:t>
            </w:r>
          </w:p>
          <w:p w14:paraId="095B61A6" w14:textId="77777777" w:rsidR="006C3C6F" w:rsidRDefault="00AF5F12" w:rsidP="00AF5F1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14:paraId="11BDDD5F" w14:textId="77777777" w:rsidR="00900186" w:rsidRPr="00900186" w:rsidRDefault="00900186" w:rsidP="00AF5F1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>*Not required</w:t>
            </w:r>
          </w:p>
        </w:tc>
      </w:tr>
      <w:tr w:rsidR="006053E8" w14:paraId="18EB3193" w14:textId="77777777" w:rsidTr="005A5DDF">
        <w:tc>
          <w:tcPr>
            <w:tcW w:w="9576" w:type="dxa"/>
            <w:gridSpan w:val="6"/>
            <w:shd w:val="clear" w:color="auto" w:fill="C0C0C0"/>
          </w:tcPr>
          <w:p w14:paraId="726E9F89" w14:textId="77777777" w:rsidR="006053E8" w:rsidRPr="005A5DDF" w:rsidRDefault="006053E8" w:rsidP="005A5DDF">
            <w:pPr>
              <w:jc w:val="center"/>
              <w:rPr>
                <w:b/>
                <w:sz w:val="28"/>
              </w:rPr>
            </w:pPr>
            <w:r w:rsidRPr="005A5DDF">
              <w:rPr>
                <w:b/>
                <w:sz w:val="28"/>
              </w:rPr>
              <w:t>LESSON ACTIVITIES</w:t>
            </w:r>
          </w:p>
        </w:tc>
      </w:tr>
      <w:tr w:rsidR="006053E8" w14:paraId="62750671" w14:textId="77777777" w:rsidTr="005A5DDF">
        <w:tc>
          <w:tcPr>
            <w:tcW w:w="9576" w:type="dxa"/>
            <w:gridSpan w:val="6"/>
            <w:shd w:val="clear" w:color="auto" w:fill="C0C0C0"/>
          </w:tcPr>
          <w:p w14:paraId="11D98FF9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Opening (Hook, Warm-Up, Anticipatory Set, Review, etc.)</w:t>
            </w:r>
          </w:p>
        </w:tc>
      </w:tr>
      <w:tr w:rsidR="006053E8" w14:paraId="103980E6" w14:textId="77777777" w:rsidTr="005A5DDF">
        <w:tc>
          <w:tcPr>
            <w:tcW w:w="9576" w:type="dxa"/>
            <w:gridSpan w:val="6"/>
            <w:shd w:val="clear" w:color="auto" w:fill="auto"/>
          </w:tcPr>
          <w:p w14:paraId="3E8505BA" w14:textId="77777777" w:rsidR="006053E8" w:rsidRPr="002852A8" w:rsidRDefault="00AF5F12" w:rsidP="00AF5F12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Remind students to grab their backpacks with lab notebooks and a writing utensil.</w:t>
            </w:r>
          </w:p>
        </w:tc>
      </w:tr>
      <w:tr w:rsidR="006053E8" w14:paraId="2A9A3634" w14:textId="77777777" w:rsidTr="005A5DDF">
        <w:tc>
          <w:tcPr>
            <w:tcW w:w="9576" w:type="dxa"/>
            <w:gridSpan w:val="6"/>
            <w:shd w:val="clear" w:color="auto" w:fill="C0C0C0"/>
          </w:tcPr>
          <w:p w14:paraId="0912A03F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Procedure: Include all sections that apply to this lesson; combine as necessary.</w:t>
            </w:r>
          </w:p>
        </w:tc>
      </w:tr>
      <w:tr w:rsidR="006053E8" w:rsidRPr="005A5DDF" w14:paraId="391825F0" w14:textId="77777777" w:rsidTr="00D63655">
        <w:tc>
          <w:tcPr>
            <w:tcW w:w="1549" w:type="dxa"/>
            <w:shd w:val="clear" w:color="auto" w:fill="auto"/>
          </w:tcPr>
          <w:p w14:paraId="791E2DE5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 xml:space="preserve">Section </w:t>
            </w:r>
          </w:p>
        </w:tc>
        <w:tc>
          <w:tcPr>
            <w:tcW w:w="899" w:type="dxa"/>
            <w:shd w:val="clear" w:color="auto" w:fill="auto"/>
          </w:tcPr>
          <w:p w14:paraId="15D3B590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>Time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75E90317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>What the Teacher will do:</w:t>
            </w:r>
          </w:p>
        </w:tc>
        <w:tc>
          <w:tcPr>
            <w:tcW w:w="3325" w:type="dxa"/>
            <w:shd w:val="clear" w:color="auto" w:fill="auto"/>
          </w:tcPr>
          <w:p w14:paraId="072888E3" w14:textId="77777777" w:rsidR="006053E8" w:rsidRPr="005A5DDF" w:rsidRDefault="006053E8">
            <w:pPr>
              <w:rPr>
                <w:b/>
              </w:rPr>
            </w:pPr>
            <w:r w:rsidRPr="005A5DDF">
              <w:rPr>
                <w:b/>
              </w:rPr>
              <w:t>What the Students will do:</w:t>
            </w:r>
          </w:p>
        </w:tc>
      </w:tr>
      <w:tr w:rsidR="006053E8" w14:paraId="6532B578" w14:textId="77777777" w:rsidTr="00D63655">
        <w:tc>
          <w:tcPr>
            <w:tcW w:w="1549" w:type="dxa"/>
            <w:shd w:val="clear" w:color="auto" w:fill="auto"/>
          </w:tcPr>
          <w:p w14:paraId="6E7427E0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Statement of Objective &amp; Purpose</w:t>
            </w:r>
          </w:p>
        </w:tc>
        <w:tc>
          <w:tcPr>
            <w:tcW w:w="899" w:type="dxa"/>
            <w:shd w:val="clear" w:color="auto" w:fill="auto"/>
          </w:tcPr>
          <w:p w14:paraId="792AA559" w14:textId="77777777" w:rsidR="004C4635" w:rsidRPr="002852A8" w:rsidRDefault="00D63655" w:rsidP="00D63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7416339A" w14:textId="77777777" w:rsidR="00EC7180" w:rsidRPr="002852A8" w:rsidRDefault="00D63655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Ensure all students are present</w:t>
            </w:r>
          </w:p>
        </w:tc>
        <w:tc>
          <w:tcPr>
            <w:tcW w:w="3325" w:type="dxa"/>
            <w:shd w:val="clear" w:color="auto" w:fill="auto"/>
          </w:tcPr>
          <w:p w14:paraId="12C686EC" w14:textId="77777777" w:rsidR="004C4635" w:rsidRPr="002852A8" w:rsidRDefault="00D63655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Gather things and board bus</w:t>
            </w:r>
          </w:p>
        </w:tc>
      </w:tr>
      <w:tr w:rsidR="006053E8" w14:paraId="3A1D275E" w14:textId="77777777" w:rsidTr="00D63655">
        <w:tc>
          <w:tcPr>
            <w:tcW w:w="1549" w:type="dxa"/>
            <w:shd w:val="clear" w:color="auto" w:fill="auto"/>
          </w:tcPr>
          <w:p w14:paraId="65689D19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Input,</w:t>
            </w:r>
          </w:p>
          <w:p w14:paraId="795FC67C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Modeling, &amp;</w:t>
            </w:r>
          </w:p>
          <w:p w14:paraId="6A4E6D4B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Check for</w:t>
            </w:r>
          </w:p>
          <w:p w14:paraId="5DC3C5F6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Understanding</w:t>
            </w:r>
          </w:p>
        </w:tc>
        <w:tc>
          <w:tcPr>
            <w:tcW w:w="899" w:type="dxa"/>
            <w:shd w:val="clear" w:color="auto" w:fill="auto"/>
          </w:tcPr>
          <w:p w14:paraId="3A8E67E7" w14:textId="77777777" w:rsidR="004C4635" w:rsidRPr="002852A8" w:rsidRDefault="00AF5F12" w:rsidP="00D63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90-180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0434D43A" w14:textId="77777777" w:rsidR="006053E8" w:rsidRPr="002852A8" w:rsidRDefault="00AF5F12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Take students to sampling site(s)</w:t>
            </w:r>
          </w:p>
          <w:p w14:paraId="79BE573C" w14:textId="77777777" w:rsidR="00AF5F12" w:rsidRPr="002852A8" w:rsidRDefault="00AF5F12">
            <w:pPr>
              <w:rPr>
                <w:rFonts w:ascii="Calibri" w:hAnsi="Calibri"/>
                <w:sz w:val="22"/>
                <w:szCs w:val="22"/>
              </w:rPr>
            </w:pPr>
          </w:p>
          <w:p w14:paraId="16259269" w14:textId="77777777" w:rsidR="00AF5F12" w:rsidRPr="002852A8" w:rsidRDefault="00AF5F12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Hand out checklists to groups for what samples to take at each site</w:t>
            </w:r>
          </w:p>
        </w:tc>
        <w:tc>
          <w:tcPr>
            <w:tcW w:w="3325" w:type="dxa"/>
            <w:shd w:val="clear" w:color="auto" w:fill="auto"/>
          </w:tcPr>
          <w:p w14:paraId="3A6E7221" w14:textId="77777777" w:rsidR="004C4635" w:rsidRPr="002852A8" w:rsidRDefault="00D63655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 xml:space="preserve">Ask questions and take note of interesting and particularly relevant things. </w:t>
            </w:r>
          </w:p>
        </w:tc>
      </w:tr>
      <w:tr w:rsidR="006053E8" w14:paraId="6920A5A3" w14:textId="77777777" w:rsidTr="00D63655">
        <w:tc>
          <w:tcPr>
            <w:tcW w:w="1549" w:type="dxa"/>
            <w:shd w:val="clear" w:color="auto" w:fill="auto"/>
          </w:tcPr>
          <w:p w14:paraId="0B7C10A7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Guided Practice</w:t>
            </w:r>
          </w:p>
        </w:tc>
        <w:tc>
          <w:tcPr>
            <w:tcW w:w="899" w:type="dxa"/>
            <w:shd w:val="clear" w:color="auto" w:fill="auto"/>
          </w:tcPr>
          <w:p w14:paraId="31977F6E" w14:textId="77777777" w:rsidR="004C4635" w:rsidRPr="002852A8" w:rsidRDefault="004C4635" w:rsidP="00D63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14:paraId="1C00719C" w14:textId="77777777" w:rsidR="004C4635" w:rsidRPr="002852A8" w:rsidRDefault="00AF5F12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At the first set of sites, walk students through the process of kicknetting, determining stream profile, and gathering water samples.</w:t>
            </w:r>
            <w:r w:rsidR="00900186" w:rsidRPr="002852A8">
              <w:rPr>
                <w:rFonts w:ascii="Calibri" w:hAnsi="Calibri"/>
                <w:sz w:val="22"/>
                <w:szCs w:val="22"/>
              </w:rPr>
              <w:t xml:space="preserve"> After the first few attempts, groups will be more independent and can operate more independently at the later sampling sites.</w:t>
            </w:r>
          </w:p>
          <w:p w14:paraId="58132E8F" w14:textId="77777777" w:rsidR="00AF5F12" w:rsidRPr="002852A8" w:rsidRDefault="00AF5F12">
            <w:pPr>
              <w:rPr>
                <w:rFonts w:ascii="Calibri" w:hAnsi="Calibri"/>
                <w:sz w:val="22"/>
                <w:szCs w:val="22"/>
              </w:rPr>
            </w:pPr>
          </w:p>
          <w:p w14:paraId="72EE0953" w14:textId="77777777" w:rsidR="00AF5F12" w:rsidRPr="002852A8" w:rsidRDefault="00AF5F12">
            <w:pPr>
              <w:rPr>
                <w:rFonts w:ascii="Calibri" w:hAnsi="Calibri"/>
                <w:i/>
                <w:sz w:val="22"/>
                <w:szCs w:val="22"/>
              </w:rPr>
            </w:pPr>
            <w:r w:rsidRPr="002852A8">
              <w:rPr>
                <w:rFonts w:ascii="Calibri" w:hAnsi="Calibri"/>
                <w:i/>
                <w:sz w:val="22"/>
                <w:szCs w:val="22"/>
              </w:rPr>
              <w:t>Note: It is suggested to designate each member of the group as an expert on one of the techniques</w:t>
            </w:r>
            <w:r w:rsidR="00900186" w:rsidRPr="002852A8">
              <w:rPr>
                <w:rFonts w:ascii="Calibri" w:hAnsi="Calibri"/>
                <w:i/>
                <w:sz w:val="22"/>
                <w:szCs w:val="22"/>
              </w:rPr>
              <w:t>. Encourage students to seek help from other groups before asking the teacher.</w:t>
            </w:r>
          </w:p>
        </w:tc>
        <w:tc>
          <w:tcPr>
            <w:tcW w:w="3325" w:type="dxa"/>
            <w:shd w:val="clear" w:color="auto" w:fill="auto"/>
          </w:tcPr>
          <w:p w14:paraId="30E8AC24" w14:textId="77777777" w:rsidR="004C4635" w:rsidRPr="002852A8" w:rsidRDefault="00900186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Gather samples, count macroinvertebrates, calculate BI values, document findings in lab notebooks and with pictures</w:t>
            </w:r>
          </w:p>
        </w:tc>
      </w:tr>
      <w:tr w:rsidR="006053E8" w14:paraId="1F355B23" w14:textId="77777777" w:rsidTr="00D63655">
        <w:tc>
          <w:tcPr>
            <w:tcW w:w="1549" w:type="dxa"/>
            <w:shd w:val="clear" w:color="auto" w:fill="auto"/>
          </w:tcPr>
          <w:p w14:paraId="247F3FC6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Independent Practice/ Homework</w:t>
            </w:r>
          </w:p>
        </w:tc>
        <w:tc>
          <w:tcPr>
            <w:tcW w:w="899" w:type="dxa"/>
            <w:shd w:val="clear" w:color="auto" w:fill="auto"/>
          </w:tcPr>
          <w:p w14:paraId="40BE5570" w14:textId="77777777" w:rsidR="004C4635" w:rsidRPr="002852A8" w:rsidRDefault="004C4635" w:rsidP="00D636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14:paraId="60E0809A" w14:textId="77777777" w:rsidR="004C4635" w:rsidRPr="002852A8" w:rsidRDefault="00900186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Assist students as needed</w:t>
            </w:r>
          </w:p>
        </w:tc>
        <w:tc>
          <w:tcPr>
            <w:tcW w:w="3325" w:type="dxa"/>
            <w:shd w:val="clear" w:color="auto" w:fill="auto"/>
          </w:tcPr>
          <w:p w14:paraId="1FB288C3" w14:textId="77777777" w:rsidR="004C4635" w:rsidRPr="002852A8" w:rsidRDefault="00900186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Independently sample at next group of sample sites.</w:t>
            </w:r>
          </w:p>
        </w:tc>
      </w:tr>
      <w:tr w:rsidR="006053E8" w14:paraId="0B419DEF" w14:textId="77777777" w:rsidTr="00D63655">
        <w:tc>
          <w:tcPr>
            <w:tcW w:w="1549" w:type="dxa"/>
            <w:shd w:val="clear" w:color="auto" w:fill="auto"/>
          </w:tcPr>
          <w:p w14:paraId="5CF60D54" w14:textId="77777777" w:rsidR="006053E8" w:rsidRPr="005A5DDF" w:rsidRDefault="006053E8">
            <w:pPr>
              <w:rPr>
                <w:b/>
                <w:sz w:val="20"/>
              </w:rPr>
            </w:pPr>
            <w:r w:rsidRPr="005A5DDF">
              <w:rPr>
                <w:b/>
                <w:sz w:val="20"/>
              </w:rPr>
              <w:t>Closing/ Summary</w:t>
            </w:r>
          </w:p>
        </w:tc>
        <w:tc>
          <w:tcPr>
            <w:tcW w:w="899" w:type="dxa"/>
            <w:shd w:val="clear" w:color="auto" w:fill="auto"/>
          </w:tcPr>
          <w:p w14:paraId="666A3185" w14:textId="77777777" w:rsidR="004C4635" w:rsidRPr="002852A8" w:rsidRDefault="00900186" w:rsidP="00D636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1</w:t>
            </w:r>
            <w:r w:rsidR="00D86BCC" w:rsidRPr="002852A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12FAABA3" w14:textId="77777777" w:rsidR="004C4635" w:rsidRPr="002852A8" w:rsidRDefault="00D86BCC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Direct clean-up</w:t>
            </w:r>
          </w:p>
          <w:p w14:paraId="35974A68" w14:textId="77777777" w:rsidR="00D86BCC" w:rsidRPr="002852A8" w:rsidRDefault="00D86BCC">
            <w:pPr>
              <w:rPr>
                <w:rFonts w:ascii="Calibri" w:hAnsi="Calibri"/>
                <w:sz w:val="22"/>
                <w:szCs w:val="22"/>
              </w:rPr>
            </w:pPr>
          </w:p>
          <w:p w14:paraId="080E487C" w14:textId="77777777" w:rsidR="00D86BCC" w:rsidRPr="002852A8" w:rsidRDefault="00D86BCC">
            <w:pPr>
              <w:rPr>
                <w:rFonts w:ascii="Calibri" w:hAnsi="Calibri"/>
                <w:sz w:val="22"/>
                <w:szCs w:val="22"/>
              </w:rPr>
            </w:pPr>
          </w:p>
          <w:p w14:paraId="26FF6237" w14:textId="77777777" w:rsidR="00D86BCC" w:rsidRPr="002852A8" w:rsidRDefault="00D86BCC">
            <w:pPr>
              <w:rPr>
                <w:rFonts w:ascii="Calibri" w:hAnsi="Calibri"/>
                <w:sz w:val="22"/>
                <w:szCs w:val="22"/>
              </w:rPr>
            </w:pPr>
          </w:p>
          <w:p w14:paraId="2E678F0E" w14:textId="77777777" w:rsidR="00D86BCC" w:rsidRPr="002852A8" w:rsidRDefault="00D86BCC" w:rsidP="00D86BCC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If time allows, ask students to think for a minute about what they observed and springboard into a conversation on their observations and the science they did</w:t>
            </w:r>
          </w:p>
        </w:tc>
        <w:tc>
          <w:tcPr>
            <w:tcW w:w="3325" w:type="dxa"/>
            <w:shd w:val="clear" w:color="auto" w:fill="auto"/>
          </w:tcPr>
          <w:p w14:paraId="55E7D2F8" w14:textId="77777777" w:rsidR="004C4635" w:rsidRPr="002852A8" w:rsidRDefault="00D86BCC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Students help restock dry equipment and lay wet equipment out to dry</w:t>
            </w:r>
          </w:p>
          <w:p w14:paraId="3995477D" w14:textId="77777777" w:rsidR="00D86BCC" w:rsidRPr="002852A8" w:rsidRDefault="00D86BCC">
            <w:pPr>
              <w:rPr>
                <w:rFonts w:ascii="Calibri" w:hAnsi="Calibri"/>
                <w:sz w:val="22"/>
                <w:szCs w:val="22"/>
              </w:rPr>
            </w:pPr>
          </w:p>
          <w:p w14:paraId="2EE4669F" w14:textId="77777777" w:rsidR="00D86BCC" w:rsidRPr="002852A8" w:rsidRDefault="007A1962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Participate in discussion</w:t>
            </w:r>
          </w:p>
        </w:tc>
      </w:tr>
      <w:tr w:rsidR="006053E8" w14:paraId="18EBBE17" w14:textId="77777777" w:rsidTr="005A5DDF">
        <w:tc>
          <w:tcPr>
            <w:tcW w:w="9576" w:type="dxa"/>
            <w:gridSpan w:val="6"/>
            <w:shd w:val="clear" w:color="auto" w:fill="C0C0C0"/>
          </w:tcPr>
          <w:p w14:paraId="6F5487D4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Assessment of Student Learning</w:t>
            </w:r>
          </w:p>
        </w:tc>
      </w:tr>
      <w:tr w:rsidR="006053E8" w14:paraId="7BE08D52" w14:textId="77777777" w:rsidTr="005A5DDF">
        <w:tc>
          <w:tcPr>
            <w:tcW w:w="9576" w:type="dxa"/>
            <w:gridSpan w:val="6"/>
            <w:shd w:val="clear" w:color="auto" w:fill="auto"/>
          </w:tcPr>
          <w:p w14:paraId="26E82564" w14:textId="77777777" w:rsidR="006053E8" w:rsidRPr="002852A8" w:rsidRDefault="00900186" w:rsidP="00137C1E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Reports</w:t>
            </w:r>
          </w:p>
          <w:p w14:paraId="32EF272D" w14:textId="77777777" w:rsidR="00900186" w:rsidRPr="002852A8" w:rsidRDefault="00900186" w:rsidP="00137C1E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lastRenderedPageBreak/>
              <w:t>Contents of lab notebook</w:t>
            </w:r>
          </w:p>
          <w:p w14:paraId="1BBEA585" w14:textId="77777777" w:rsidR="00D63655" w:rsidRPr="002852A8" w:rsidRDefault="00900186" w:rsidP="00137C1E">
            <w:pPr>
              <w:rPr>
                <w:rFonts w:ascii="Calibri" w:hAnsi="Calibri"/>
                <w:sz w:val="22"/>
                <w:szCs w:val="22"/>
              </w:rPr>
            </w:pPr>
            <w:r w:rsidRPr="002852A8">
              <w:rPr>
                <w:rFonts w:ascii="Calibri" w:hAnsi="Calibri"/>
                <w:sz w:val="22"/>
                <w:szCs w:val="22"/>
              </w:rPr>
              <w:t>Observation of an interaction with students during sampling</w:t>
            </w:r>
          </w:p>
        </w:tc>
      </w:tr>
      <w:tr w:rsidR="006053E8" w14:paraId="6FE87B51" w14:textId="77777777" w:rsidTr="005A5DDF">
        <w:tc>
          <w:tcPr>
            <w:tcW w:w="9576" w:type="dxa"/>
            <w:gridSpan w:val="6"/>
            <w:shd w:val="clear" w:color="auto" w:fill="C0C0C0"/>
          </w:tcPr>
          <w:p w14:paraId="709A70DB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lastRenderedPageBreak/>
              <w:t>Differentiation Strategies*</w:t>
            </w:r>
          </w:p>
        </w:tc>
      </w:tr>
      <w:tr w:rsidR="006053E8" w14:paraId="6F07B353" w14:textId="77777777" w:rsidTr="005A5DDF">
        <w:tc>
          <w:tcPr>
            <w:tcW w:w="9576" w:type="dxa"/>
            <w:gridSpan w:val="6"/>
            <w:shd w:val="clear" w:color="auto" w:fill="C0C0C0"/>
          </w:tcPr>
          <w:p w14:paraId="44CFB2B5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  <w:i/>
              </w:rPr>
              <w:t>How will you adjust aspects of the lesson to accommodate student READINESS?</w:t>
            </w:r>
          </w:p>
        </w:tc>
      </w:tr>
      <w:tr w:rsidR="006053E8" w:rsidRPr="005A5DDF" w14:paraId="4753B148" w14:textId="77777777" w:rsidTr="005A5DDF">
        <w:tc>
          <w:tcPr>
            <w:tcW w:w="2898" w:type="dxa"/>
            <w:gridSpan w:val="3"/>
            <w:shd w:val="clear" w:color="auto" w:fill="auto"/>
          </w:tcPr>
          <w:p w14:paraId="157774BC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Struggling Students: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22C61442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Gifted/Advanced Students:</w:t>
            </w:r>
          </w:p>
        </w:tc>
        <w:tc>
          <w:tcPr>
            <w:tcW w:w="3325" w:type="dxa"/>
            <w:shd w:val="clear" w:color="auto" w:fill="auto"/>
          </w:tcPr>
          <w:p w14:paraId="2403F827" w14:textId="77777777" w:rsidR="006053E8" w:rsidRPr="005A5DDF" w:rsidRDefault="006053E8" w:rsidP="005A5DDF">
            <w:pPr>
              <w:jc w:val="center"/>
              <w:rPr>
                <w:b/>
              </w:rPr>
            </w:pPr>
            <w:r w:rsidRPr="005A5DDF">
              <w:rPr>
                <w:b/>
              </w:rPr>
              <w:t>English Language Learners:</w:t>
            </w:r>
          </w:p>
        </w:tc>
      </w:tr>
      <w:tr w:rsidR="006053E8" w:rsidRPr="00137C1E" w14:paraId="77F0486E" w14:textId="77777777" w:rsidTr="005A5DDF">
        <w:tc>
          <w:tcPr>
            <w:tcW w:w="2898" w:type="dxa"/>
            <w:gridSpan w:val="3"/>
            <w:shd w:val="clear" w:color="auto" w:fill="auto"/>
          </w:tcPr>
          <w:p w14:paraId="70C4EB13" w14:textId="77777777" w:rsidR="006053E8" w:rsidRPr="002852A8" w:rsidRDefault="00D63655" w:rsidP="00900186">
            <w:pPr>
              <w:rPr>
                <w:rFonts w:ascii="Calibri" w:hAnsi="Calibri"/>
                <w:sz w:val="20"/>
              </w:rPr>
            </w:pPr>
            <w:r w:rsidRPr="002852A8">
              <w:rPr>
                <w:rFonts w:ascii="Calibri" w:hAnsi="Calibri"/>
                <w:sz w:val="20"/>
              </w:rPr>
              <w:t xml:space="preserve">Students can </w:t>
            </w:r>
            <w:r w:rsidR="00900186" w:rsidRPr="002852A8">
              <w:rPr>
                <w:rFonts w:ascii="Calibri" w:hAnsi="Calibri"/>
                <w:sz w:val="20"/>
              </w:rPr>
              <w:t>be in charge of the simpler tasks at early sites, and assist with more complex tasks like stream profile calculations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4D7B2286" w14:textId="77777777" w:rsidR="006053E8" w:rsidRPr="002852A8" w:rsidRDefault="00900186">
            <w:pPr>
              <w:rPr>
                <w:rFonts w:ascii="Calibri" w:hAnsi="Calibri"/>
                <w:sz w:val="20"/>
              </w:rPr>
            </w:pPr>
            <w:r w:rsidRPr="002852A8">
              <w:rPr>
                <w:rFonts w:ascii="Calibri" w:hAnsi="Calibri"/>
                <w:sz w:val="20"/>
              </w:rPr>
              <w:t>Should be expected and encouraged to ask more challenging questions of the labs. Receive more in-depth feedback on lab notebook and report</w:t>
            </w:r>
          </w:p>
        </w:tc>
        <w:tc>
          <w:tcPr>
            <w:tcW w:w="3325" w:type="dxa"/>
            <w:shd w:val="clear" w:color="auto" w:fill="auto"/>
          </w:tcPr>
          <w:p w14:paraId="07E85ACE" w14:textId="77777777" w:rsidR="004C4635" w:rsidRPr="002852A8" w:rsidRDefault="00D63655" w:rsidP="00900186">
            <w:pPr>
              <w:rPr>
                <w:rFonts w:ascii="Calibri" w:hAnsi="Calibri"/>
                <w:sz w:val="20"/>
              </w:rPr>
            </w:pPr>
            <w:r w:rsidRPr="002852A8">
              <w:rPr>
                <w:rFonts w:ascii="Calibri" w:hAnsi="Calibri"/>
                <w:sz w:val="20"/>
              </w:rPr>
              <w:t>Students can submit a</w:t>
            </w:r>
            <w:r w:rsidR="00900186" w:rsidRPr="002852A8">
              <w:rPr>
                <w:rFonts w:ascii="Calibri" w:hAnsi="Calibri"/>
                <w:sz w:val="20"/>
              </w:rPr>
              <w:t>n explanation of the lab, without being required to write a formal lab report</w:t>
            </w:r>
          </w:p>
        </w:tc>
      </w:tr>
      <w:tr w:rsidR="006053E8" w14:paraId="1CB9FFC0" w14:textId="77777777" w:rsidTr="005A5DDF">
        <w:tc>
          <w:tcPr>
            <w:tcW w:w="9576" w:type="dxa"/>
            <w:gridSpan w:val="6"/>
            <w:shd w:val="clear" w:color="auto" w:fill="C0C0C0"/>
          </w:tcPr>
          <w:p w14:paraId="58179B9F" w14:textId="77777777" w:rsidR="006053E8" w:rsidRPr="005A5DDF" w:rsidRDefault="006053E8" w:rsidP="005A5DDF">
            <w:pPr>
              <w:jc w:val="center"/>
              <w:rPr>
                <w:b/>
                <w:i/>
              </w:rPr>
            </w:pPr>
            <w:r w:rsidRPr="005A5DDF">
              <w:rPr>
                <w:b/>
                <w:i/>
              </w:rPr>
              <w:t>How will you adjust aspects of the lesson to accommodate students’ LEARNING PROFILES?</w:t>
            </w:r>
          </w:p>
        </w:tc>
      </w:tr>
      <w:tr w:rsidR="006053E8" w14:paraId="3CA359C6" w14:textId="77777777" w:rsidTr="005A5DDF">
        <w:tc>
          <w:tcPr>
            <w:tcW w:w="9576" w:type="dxa"/>
            <w:gridSpan w:val="6"/>
            <w:shd w:val="clear" w:color="auto" w:fill="auto"/>
          </w:tcPr>
          <w:p w14:paraId="26952C30" w14:textId="77777777" w:rsidR="00C861D0" w:rsidRPr="002852A8" w:rsidRDefault="008C0BBF" w:rsidP="00137C1E">
            <w:pPr>
              <w:rPr>
                <w:rFonts w:ascii="Calibri" w:hAnsi="Calibri"/>
                <w:sz w:val="20"/>
                <w:szCs w:val="20"/>
              </w:rPr>
            </w:pPr>
            <w:r w:rsidRPr="002852A8">
              <w:rPr>
                <w:rFonts w:ascii="Calibri" w:hAnsi="Calibri"/>
                <w:sz w:val="20"/>
                <w:szCs w:val="20"/>
              </w:rPr>
              <w:t xml:space="preserve">Interpersonal </w:t>
            </w:r>
            <w:r w:rsidRPr="002852A8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Pr="002852A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1962" w:rsidRPr="002852A8">
              <w:rPr>
                <w:rFonts w:ascii="Calibri" w:hAnsi="Calibri"/>
                <w:sz w:val="20"/>
                <w:szCs w:val="20"/>
              </w:rPr>
              <w:t>working in groups</w:t>
            </w:r>
          </w:p>
          <w:p w14:paraId="43CCF332" w14:textId="77777777" w:rsidR="008C0BBF" w:rsidRPr="002852A8" w:rsidRDefault="008C0BBF" w:rsidP="00137C1E">
            <w:pPr>
              <w:rPr>
                <w:rFonts w:ascii="Calibri" w:hAnsi="Calibri"/>
                <w:sz w:val="20"/>
                <w:szCs w:val="20"/>
              </w:rPr>
            </w:pPr>
            <w:r w:rsidRPr="002852A8">
              <w:rPr>
                <w:rFonts w:ascii="Calibri" w:hAnsi="Calibri"/>
                <w:sz w:val="20"/>
                <w:szCs w:val="20"/>
              </w:rPr>
              <w:t>Visual</w:t>
            </w:r>
            <w:r w:rsidR="007A1962" w:rsidRPr="002852A8">
              <w:rPr>
                <w:rFonts w:ascii="Calibri" w:hAnsi="Calibri"/>
                <w:sz w:val="20"/>
                <w:szCs w:val="20"/>
              </w:rPr>
              <w:t>/spatial</w:t>
            </w:r>
            <w:r w:rsidRPr="002852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852A8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="007A1962" w:rsidRPr="002852A8">
              <w:rPr>
                <w:rFonts w:ascii="Calibri" w:hAnsi="Calibri"/>
                <w:sz w:val="20"/>
                <w:szCs w:val="20"/>
              </w:rPr>
              <w:t xml:space="preserve"> Macroinvertebrate ID, camera documentation of stream banks and buffer characteristics</w:t>
            </w:r>
          </w:p>
          <w:p w14:paraId="289AA320" w14:textId="77777777" w:rsidR="007A1962" w:rsidRPr="002852A8" w:rsidRDefault="007A1962" w:rsidP="007A1962">
            <w:pPr>
              <w:rPr>
                <w:rFonts w:ascii="Calibri" w:hAnsi="Calibri"/>
                <w:sz w:val="20"/>
                <w:szCs w:val="20"/>
              </w:rPr>
            </w:pPr>
            <w:r w:rsidRPr="002852A8">
              <w:rPr>
                <w:rFonts w:ascii="Calibri" w:hAnsi="Calibri"/>
                <w:sz w:val="20"/>
                <w:szCs w:val="20"/>
              </w:rPr>
              <w:t xml:space="preserve">Mathematical </w:t>
            </w:r>
            <w:r w:rsidRPr="002852A8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Pr="002852A8">
              <w:rPr>
                <w:rFonts w:ascii="Calibri" w:hAnsi="Calibri"/>
                <w:sz w:val="20"/>
                <w:szCs w:val="20"/>
              </w:rPr>
              <w:t xml:space="preserve"> BI and stream profile calculations</w:t>
            </w:r>
          </w:p>
          <w:p w14:paraId="4F70D3EC" w14:textId="77777777" w:rsidR="008C0BBF" w:rsidRPr="002852A8" w:rsidRDefault="00E37F8F" w:rsidP="007A1962">
            <w:pPr>
              <w:tabs>
                <w:tab w:val="center" w:pos="4680"/>
              </w:tabs>
              <w:rPr>
                <w:rFonts w:ascii="Calibri" w:hAnsi="Calibri"/>
                <w:sz w:val="20"/>
                <w:szCs w:val="20"/>
              </w:rPr>
            </w:pPr>
            <w:r w:rsidRPr="002852A8">
              <w:rPr>
                <w:rFonts w:ascii="Calibri" w:hAnsi="Calibri"/>
                <w:sz w:val="20"/>
                <w:szCs w:val="20"/>
              </w:rPr>
              <w:t xml:space="preserve">Verbal </w:t>
            </w:r>
            <w:r w:rsidRPr="002852A8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Pr="002852A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1962" w:rsidRPr="002852A8">
              <w:rPr>
                <w:rFonts w:ascii="Calibri" w:hAnsi="Calibri"/>
                <w:sz w:val="20"/>
                <w:szCs w:val="20"/>
              </w:rPr>
              <w:t>Wrap-up discussion and report</w:t>
            </w:r>
            <w:r w:rsidR="007A1962" w:rsidRPr="002852A8">
              <w:rPr>
                <w:rFonts w:ascii="Calibri" w:hAnsi="Calibri"/>
                <w:sz w:val="20"/>
                <w:szCs w:val="20"/>
              </w:rPr>
              <w:tab/>
            </w:r>
          </w:p>
          <w:p w14:paraId="367EE1A5" w14:textId="77777777" w:rsidR="007A1962" w:rsidRPr="002852A8" w:rsidRDefault="007A1962" w:rsidP="007A1962">
            <w:pPr>
              <w:tabs>
                <w:tab w:val="center" w:pos="4680"/>
              </w:tabs>
              <w:rPr>
                <w:rFonts w:ascii="Calibri" w:hAnsi="Calibri"/>
                <w:sz w:val="20"/>
                <w:szCs w:val="20"/>
              </w:rPr>
            </w:pPr>
            <w:r w:rsidRPr="002852A8">
              <w:rPr>
                <w:rFonts w:ascii="Calibri" w:hAnsi="Calibri"/>
                <w:sz w:val="20"/>
                <w:szCs w:val="20"/>
              </w:rPr>
              <w:t xml:space="preserve">Kinesthetic </w:t>
            </w:r>
            <w:r w:rsidRPr="002852A8">
              <w:rPr>
                <w:rFonts w:ascii="Calibri" w:hAnsi="Calibri"/>
                <w:sz w:val="20"/>
                <w:szCs w:val="20"/>
              </w:rPr>
              <w:sym w:font="Wingdings" w:char="F0E0"/>
            </w:r>
            <w:r w:rsidRPr="002852A8">
              <w:rPr>
                <w:rFonts w:ascii="Calibri" w:hAnsi="Calibri"/>
                <w:sz w:val="20"/>
                <w:szCs w:val="20"/>
              </w:rPr>
              <w:t xml:space="preserve"> lots of movement and activity inherent in this lab</w:t>
            </w:r>
          </w:p>
        </w:tc>
      </w:tr>
    </w:tbl>
    <w:p w14:paraId="61B7CACF" w14:textId="77777777" w:rsidR="00F42854" w:rsidRDefault="00F42854"/>
    <w:sectPr w:rsidR="00F42854" w:rsidSect="00BB0A67">
      <w:headerReference w:type="default" r:id="rId10"/>
      <w:footerReference w:type="default" r:id="rId11"/>
      <w:pgSz w:w="12240" w:h="15840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119F" w14:textId="77777777" w:rsidR="002852A8" w:rsidRDefault="002852A8">
      <w:r>
        <w:separator/>
      </w:r>
    </w:p>
  </w:endnote>
  <w:endnote w:type="continuationSeparator" w:id="0">
    <w:p w14:paraId="36DC136C" w14:textId="77777777" w:rsidR="002852A8" w:rsidRDefault="0028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625" w14:textId="48B76CEF" w:rsidR="005F7457" w:rsidRPr="002852A8" w:rsidRDefault="005F7457">
    <w:pPr>
      <w:pStyle w:val="Footer"/>
      <w:rPr>
        <w:rFonts w:ascii="Calibri" w:hAnsi="Calibri"/>
        <w:sz w:val="20"/>
        <w:szCs w:val="20"/>
      </w:rPr>
    </w:pPr>
    <w:r w:rsidRPr="002852A8">
      <w:rPr>
        <w:rFonts w:ascii="Calibri" w:hAnsi="Calibri"/>
        <w:sz w:val="20"/>
        <w:szCs w:val="20"/>
      </w:rPr>
      <w:t xml:space="preserve">Prepared by Chris Hewitt and Kevin Lloyd, Duke University MAT, </w:t>
    </w:r>
    <w:r w:rsidR="00C85E11" w:rsidRPr="002852A8">
      <w:rPr>
        <w:rFonts w:ascii="Calibri" w:hAnsi="Calibri"/>
        <w:sz w:val="20"/>
        <w:szCs w:val="20"/>
      </w:rPr>
      <w:t xml:space="preserve">© </w:t>
    </w:r>
    <w:r w:rsidRPr="002852A8">
      <w:rPr>
        <w:rFonts w:ascii="Calibri" w:hAnsi="Calibri"/>
        <w:sz w:val="20"/>
        <w:szCs w:val="20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C96A" w14:textId="77777777" w:rsidR="002852A8" w:rsidRDefault="002852A8">
      <w:r>
        <w:separator/>
      </w:r>
    </w:p>
  </w:footnote>
  <w:footnote w:type="continuationSeparator" w:id="0">
    <w:p w14:paraId="6ED9AA90" w14:textId="77777777" w:rsidR="002852A8" w:rsidRDefault="0028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D83F" w14:textId="77777777" w:rsidR="006053E8" w:rsidRPr="002852A8" w:rsidRDefault="002A75A2" w:rsidP="005A5DDF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sz w:val="20"/>
      </w:rPr>
    </w:pPr>
    <w:r w:rsidRPr="002852A8">
      <w:rPr>
        <w:rFonts w:ascii="Calibri" w:hAnsi="Calibri"/>
        <w:sz w:val="20"/>
      </w:rPr>
      <w:t>&lt;&lt;&lt;&lt;&lt;&lt;</w:t>
    </w:r>
    <w:r w:rsidR="005F7457" w:rsidRPr="002852A8">
      <w:rPr>
        <w:rFonts w:ascii="Calibri" w:hAnsi="Calibri"/>
        <w:sz w:val="20"/>
      </w:rPr>
      <w:t>Ecological Health of the Ellerbe Creek Watershed and its Environmental Implications</w:t>
    </w:r>
    <w:r w:rsidRPr="002852A8">
      <w:rPr>
        <w:rFonts w:ascii="Calibri" w:hAnsi="Calibri"/>
        <w:sz w:val="20"/>
      </w:rPr>
      <w:t>&gt;&gt;&gt;&gt;&gt;</w:t>
    </w:r>
  </w:p>
  <w:p w14:paraId="689DB9A8" w14:textId="77777777" w:rsidR="006053E8" w:rsidRPr="00485DE6" w:rsidRDefault="006053E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5E"/>
    <w:multiLevelType w:val="hybridMultilevel"/>
    <w:tmpl w:val="45D45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33CA2"/>
    <w:multiLevelType w:val="hybridMultilevel"/>
    <w:tmpl w:val="1886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26A2"/>
    <w:multiLevelType w:val="hybridMultilevel"/>
    <w:tmpl w:val="7C74D2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230D4A"/>
    <w:multiLevelType w:val="hybridMultilevel"/>
    <w:tmpl w:val="2A92A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E6C2B"/>
    <w:multiLevelType w:val="hybridMultilevel"/>
    <w:tmpl w:val="973A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320BF"/>
    <w:multiLevelType w:val="hybridMultilevel"/>
    <w:tmpl w:val="CCB49BD0"/>
    <w:lvl w:ilvl="0" w:tplc="D8E0D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D1194"/>
    <w:multiLevelType w:val="hybridMultilevel"/>
    <w:tmpl w:val="55729162"/>
    <w:lvl w:ilvl="0" w:tplc="D270B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93D8A"/>
    <w:multiLevelType w:val="hybridMultilevel"/>
    <w:tmpl w:val="6EECB23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E2C"/>
    <w:rsid w:val="00137C1E"/>
    <w:rsid w:val="001A263B"/>
    <w:rsid w:val="002852A8"/>
    <w:rsid w:val="002A75A2"/>
    <w:rsid w:val="00335E2C"/>
    <w:rsid w:val="00371F76"/>
    <w:rsid w:val="004A21CF"/>
    <w:rsid w:val="004C4635"/>
    <w:rsid w:val="004D773B"/>
    <w:rsid w:val="004E2AED"/>
    <w:rsid w:val="00575025"/>
    <w:rsid w:val="00595003"/>
    <w:rsid w:val="005A5DDF"/>
    <w:rsid w:val="005F7457"/>
    <w:rsid w:val="006053E8"/>
    <w:rsid w:val="006C3C6F"/>
    <w:rsid w:val="00726F98"/>
    <w:rsid w:val="00794441"/>
    <w:rsid w:val="007A1962"/>
    <w:rsid w:val="007B0B96"/>
    <w:rsid w:val="00841F06"/>
    <w:rsid w:val="00844D0B"/>
    <w:rsid w:val="008C0BBF"/>
    <w:rsid w:val="008D4459"/>
    <w:rsid w:val="00900186"/>
    <w:rsid w:val="00A47248"/>
    <w:rsid w:val="00AD1DA4"/>
    <w:rsid w:val="00AF5F12"/>
    <w:rsid w:val="00B212CB"/>
    <w:rsid w:val="00BA5362"/>
    <w:rsid w:val="00BB0A67"/>
    <w:rsid w:val="00BB487C"/>
    <w:rsid w:val="00C27B80"/>
    <w:rsid w:val="00C62F92"/>
    <w:rsid w:val="00C83219"/>
    <w:rsid w:val="00C85E11"/>
    <w:rsid w:val="00C861D0"/>
    <w:rsid w:val="00CE60AC"/>
    <w:rsid w:val="00CE6C34"/>
    <w:rsid w:val="00D63655"/>
    <w:rsid w:val="00D86BCC"/>
    <w:rsid w:val="00DB11B0"/>
    <w:rsid w:val="00E37F8F"/>
    <w:rsid w:val="00EC7180"/>
    <w:rsid w:val="00F405A7"/>
    <w:rsid w:val="00F42854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55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1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1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1B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40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5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tes.duke.edu/rise/duke-courses/pharm-6936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EDU195/Fall 2009</vt:lpstr>
    </vt:vector>
  </TitlesOfParts>
  <Company>Duke University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EDU195/Fall 2009</dc:title>
  <dc:creator>Alan Teasley</dc:creator>
  <cp:lastModifiedBy>Rochelle Bloom</cp:lastModifiedBy>
  <cp:revision>9</cp:revision>
  <cp:lastPrinted>2011-07-14T19:41:00Z</cp:lastPrinted>
  <dcterms:created xsi:type="dcterms:W3CDTF">2013-06-04T03:05:00Z</dcterms:created>
  <dcterms:modified xsi:type="dcterms:W3CDTF">2014-03-06T17:21:00Z</dcterms:modified>
</cp:coreProperties>
</file>