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2B09" w14:textId="77777777" w:rsidR="00C74E5F" w:rsidRPr="008B4763" w:rsidRDefault="008B4763">
      <w:pPr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Assessment of </w:t>
      </w:r>
      <w:r w:rsidRPr="008B4763">
        <w:rPr>
          <w:rFonts w:ascii="Garamond" w:hAnsi="Garamond"/>
          <w:b/>
          <w:sz w:val="32"/>
        </w:rPr>
        <w:t xml:space="preserve">Critical Peer Review: </w:t>
      </w:r>
      <w:r w:rsidRPr="008B4763">
        <w:rPr>
          <w:rFonts w:ascii="Garamond" w:hAnsi="Garamond"/>
          <w:b/>
        </w:rPr>
        <w:t>This is a rubric used to assess the quality of student peer reviews.</w:t>
      </w:r>
      <w:r>
        <w:rPr>
          <w:rFonts w:ascii="Garamond" w:hAnsi="Garamond"/>
          <w:b/>
        </w:rPr>
        <w:t xml:space="preserve"> Each student must complete weekly in-depth essays in response to questions about course material to demonstrate their knowledge. Students then peer-review each other’s essays</w:t>
      </w:r>
      <w:r w:rsidR="00582646">
        <w:rPr>
          <w:rFonts w:ascii="Garamond" w:hAnsi="Garamond"/>
          <w:b/>
        </w:rPr>
        <w:t xml:space="preserve"> using the assignment description as their review criteria. During the peer review process, students</w:t>
      </w:r>
      <w:r>
        <w:rPr>
          <w:rFonts w:ascii="Garamond" w:hAnsi="Garamond"/>
          <w:b/>
        </w:rPr>
        <w:t xml:space="preserve"> demonstrate their </w:t>
      </w:r>
      <w:r w:rsidR="00582646">
        <w:rPr>
          <w:rFonts w:ascii="Garamond" w:hAnsi="Garamond"/>
          <w:b/>
        </w:rPr>
        <w:t>learning</w:t>
      </w:r>
      <w:r>
        <w:rPr>
          <w:rFonts w:ascii="Garamond" w:hAnsi="Garamond"/>
          <w:b/>
        </w:rPr>
        <w:t xml:space="preserve"> by applying </w:t>
      </w:r>
      <w:r w:rsidR="00582646">
        <w:rPr>
          <w:rFonts w:ascii="Garamond" w:hAnsi="Garamond"/>
          <w:b/>
        </w:rPr>
        <w:t xml:space="preserve">their knowledge and understanding of the course material </w:t>
      </w:r>
      <w:r>
        <w:rPr>
          <w:rFonts w:ascii="Garamond" w:hAnsi="Garamond"/>
          <w:b/>
        </w:rPr>
        <w:t>in their peer reviews. (see syllabus)</w:t>
      </w:r>
    </w:p>
    <w:p w14:paraId="5B4EAA2C" w14:textId="77777777" w:rsidR="008B4763" w:rsidRDefault="008B4763">
      <w:pPr>
        <w:rPr>
          <w:rFonts w:ascii="Garamond" w:hAnsi="Garamond"/>
        </w:rPr>
      </w:pPr>
    </w:p>
    <w:tbl>
      <w:tblPr>
        <w:tblW w:w="133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C1C1C1"/>
          <w:insideV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255"/>
        <w:gridCol w:w="2198"/>
        <w:gridCol w:w="2399"/>
        <w:gridCol w:w="2399"/>
        <w:gridCol w:w="2198"/>
      </w:tblGrid>
      <w:tr w:rsidR="008B4763" w:rsidRPr="008B4763" w14:paraId="6FE755F7" w14:textId="77777777" w:rsidTr="008B476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96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73E332C6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Levels of </w:t>
            </w:r>
            <w:r w:rsidR="00582646">
              <w:rPr>
                <w:rFonts w:ascii="Garamond" w:hAnsi="Garamond"/>
                <w:b/>
                <w:bCs/>
              </w:rPr>
              <w:t>Achievement</w:t>
            </w:r>
            <w:bookmarkStart w:id="0" w:name="_GoBack"/>
            <w:bookmarkEnd w:id="0"/>
          </w:p>
        </w:tc>
        <w:tc>
          <w:tcPr>
            <w:tcW w:w="2255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6E1FB922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Unacceptable</w:t>
            </w:r>
          </w:p>
        </w:tc>
        <w:tc>
          <w:tcPr>
            <w:tcW w:w="2198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520E3A12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 w:rsidRPr="008B4763">
              <w:rPr>
                <w:rFonts w:ascii="Garamond" w:hAnsi="Garamond"/>
                <w:b/>
                <w:bCs/>
              </w:rPr>
              <w:t>Poor</w:t>
            </w:r>
          </w:p>
        </w:tc>
        <w:tc>
          <w:tcPr>
            <w:tcW w:w="2399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06D6B3F6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 w:rsidRPr="008B4763">
              <w:rPr>
                <w:rFonts w:ascii="Garamond" w:hAnsi="Garamond"/>
                <w:b/>
                <w:bCs/>
              </w:rPr>
              <w:t>Near Expectations</w:t>
            </w:r>
          </w:p>
        </w:tc>
        <w:tc>
          <w:tcPr>
            <w:tcW w:w="2399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75C29BA9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 w:rsidRPr="008B4763">
              <w:rPr>
                <w:rFonts w:ascii="Garamond" w:hAnsi="Garamond"/>
                <w:b/>
                <w:bCs/>
              </w:rPr>
              <w:t>Meets Minimum Expectations</w:t>
            </w:r>
          </w:p>
        </w:tc>
        <w:tc>
          <w:tcPr>
            <w:tcW w:w="2198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45DAA48C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 w:rsidRPr="008B4763">
              <w:rPr>
                <w:rFonts w:ascii="Garamond" w:hAnsi="Garamond"/>
                <w:b/>
                <w:bCs/>
              </w:rPr>
              <w:t>Exceeds Minimum Expectations</w:t>
            </w:r>
          </w:p>
        </w:tc>
      </w:tr>
      <w:tr w:rsidR="008B4763" w:rsidRPr="008B4763" w14:paraId="05776E49" w14:textId="77777777" w:rsidTr="008B4763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1896" w:type="dxa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8D9CD09" w14:textId="77777777" w:rsidR="008B4763" w:rsidRPr="008B4763" w:rsidRDefault="008B4763" w:rsidP="008B4763">
            <w:pPr>
              <w:rPr>
                <w:rFonts w:ascii="Garamond" w:hAnsi="Garamond"/>
                <w:b/>
                <w:bCs/>
              </w:rPr>
            </w:pPr>
            <w:r w:rsidRPr="008B4763">
              <w:rPr>
                <w:rFonts w:ascii="Garamond" w:hAnsi="Garamond"/>
                <w:b/>
                <w:bCs/>
              </w:rPr>
              <w:t>Weight 100.00%</w:t>
            </w:r>
          </w:p>
        </w:tc>
        <w:tc>
          <w:tcPr>
            <w:tcW w:w="2255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769B7FBF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  <w:b/>
                <w:bCs/>
              </w:rPr>
              <w:t>0 %</w:t>
            </w:r>
          </w:p>
          <w:p w14:paraId="4680CC68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</w:rPr>
              <w:t>Not a critical evaluation: Student simply rephrases what the presenter has said. This work does not demonstrate understanding. Very unsatisfactory.</w:t>
            </w:r>
          </w:p>
        </w:tc>
        <w:tc>
          <w:tcPr>
            <w:tcW w:w="2198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562E7BBC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  <w:b/>
                <w:bCs/>
              </w:rPr>
              <w:t>25 %</w:t>
            </w:r>
          </w:p>
          <w:p w14:paraId="504DBFDA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</w:rPr>
              <w:t xml:space="preserve">Not a critical evaluation: Student simply rephrases what the presenter </w:t>
            </w:r>
            <w:r>
              <w:rPr>
                <w:rFonts w:ascii="Garamond" w:hAnsi="Garamond"/>
              </w:rPr>
              <w:t xml:space="preserve">or author </w:t>
            </w:r>
            <w:r w:rsidRPr="008B4763">
              <w:rPr>
                <w:rFonts w:ascii="Garamond" w:hAnsi="Garamond"/>
              </w:rPr>
              <w:t>has said. This work does not demonstrate understanding. Unsatisfactory.</w:t>
            </w:r>
          </w:p>
        </w:tc>
        <w:tc>
          <w:tcPr>
            <w:tcW w:w="2399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51C5DEE4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  <w:b/>
                <w:bCs/>
              </w:rPr>
              <w:t>50 %</w:t>
            </w:r>
          </w:p>
          <w:p w14:paraId="2F04C2B8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</w:rPr>
              <w:t>Evaluation is critical in some cases but not all or there are some significant misconceptions. It is clear that there are gaps in knowledge.</w:t>
            </w:r>
          </w:p>
        </w:tc>
        <w:tc>
          <w:tcPr>
            <w:tcW w:w="2399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64AEEA47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  <w:b/>
                <w:bCs/>
              </w:rPr>
              <w:t>75 %</w:t>
            </w:r>
          </w:p>
          <w:p w14:paraId="255E930A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</w:rPr>
              <w:t>Critical evaluation demonstrates effort, good understanding, and application of fundamental concepts to bioinorganic systems. However, there are some minor misconceptions.</w:t>
            </w:r>
          </w:p>
        </w:tc>
        <w:tc>
          <w:tcPr>
            <w:tcW w:w="2198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383BBA07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  <w:b/>
                <w:bCs/>
              </w:rPr>
              <w:t>100 %</w:t>
            </w:r>
          </w:p>
          <w:p w14:paraId="665C7EC0" w14:textId="77777777" w:rsidR="008B4763" w:rsidRPr="008B4763" w:rsidRDefault="008B4763" w:rsidP="008B4763">
            <w:pPr>
              <w:rPr>
                <w:rFonts w:ascii="Garamond" w:hAnsi="Garamond"/>
              </w:rPr>
            </w:pPr>
            <w:r w:rsidRPr="008B4763">
              <w:rPr>
                <w:rFonts w:ascii="Garamond" w:hAnsi="Garamond"/>
              </w:rPr>
              <w:t>Critical evaluation demonstrates excellent effort, excellent understanding, and creative application of fundamental concepts to bioinorganic systems.</w:t>
            </w:r>
          </w:p>
        </w:tc>
      </w:tr>
    </w:tbl>
    <w:p w14:paraId="51CE9486" w14:textId="77777777" w:rsidR="008B4763" w:rsidRPr="008B4763" w:rsidRDefault="008B4763">
      <w:pPr>
        <w:rPr>
          <w:rFonts w:ascii="Garamond" w:hAnsi="Garamond"/>
        </w:rPr>
      </w:pPr>
    </w:p>
    <w:sectPr w:rsidR="008B4763" w:rsidRPr="008B4763" w:rsidSect="008B4763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0C47" w14:textId="77777777" w:rsidR="00811BB4" w:rsidRDefault="00811BB4" w:rsidP="008B4763">
      <w:r>
        <w:separator/>
      </w:r>
    </w:p>
  </w:endnote>
  <w:endnote w:type="continuationSeparator" w:id="0">
    <w:p w14:paraId="22D3B78E" w14:textId="77777777" w:rsidR="00811BB4" w:rsidRDefault="00811BB4" w:rsidP="008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26B2" w14:textId="77777777" w:rsidR="008B4763" w:rsidRDefault="008B4763" w:rsidP="00DF74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1424C" w14:textId="77777777" w:rsidR="008B4763" w:rsidRDefault="008B4763" w:rsidP="008B47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9FBB" w14:textId="77777777" w:rsidR="008B4763" w:rsidRDefault="008B4763" w:rsidP="00DF74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B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B88D8" w14:textId="77777777" w:rsidR="008B4763" w:rsidRDefault="008B4763" w:rsidP="008B47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4431" w14:textId="77777777" w:rsidR="00811BB4" w:rsidRDefault="00811BB4" w:rsidP="008B4763">
      <w:r>
        <w:separator/>
      </w:r>
    </w:p>
  </w:footnote>
  <w:footnote w:type="continuationSeparator" w:id="0">
    <w:p w14:paraId="2B653B2B" w14:textId="77777777" w:rsidR="00811BB4" w:rsidRDefault="00811BB4" w:rsidP="008B4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9194" w14:textId="77777777" w:rsidR="008B4763" w:rsidRPr="008B4763" w:rsidRDefault="008B4763" w:rsidP="008B4763">
    <w:pPr>
      <w:rPr>
        <w:rFonts w:ascii="Garamond" w:hAnsi="Garamond"/>
        <w:b/>
        <w:sz w:val="28"/>
        <w:u w:val="single"/>
      </w:rPr>
    </w:pPr>
    <w:r w:rsidRPr="008B4763">
      <w:rPr>
        <w:rFonts w:ascii="Garamond" w:hAnsi="Garamond"/>
        <w:b/>
        <w:sz w:val="28"/>
        <w:u w:val="single"/>
      </w:rPr>
      <w:t xml:space="preserve">Rubrics for CHEM 342, Bioinorganic Chemistry and Materials: </w:t>
    </w:r>
    <w:r w:rsidRPr="008B4763">
      <w:rPr>
        <w:rFonts w:ascii="Garamond" w:hAnsi="Garamond"/>
        <w:b/>
        <w:sz w:val="28"/>
        <w:u w:val="single"/>
      </w:rPr>
      <w:t>Peer Review of Essay Responses</w:t>
    </w:r>
  </w:p>
  <w:p w14:paraId="459CAB9D" w14:textId="77777777" w:rsidR="008B4763" w:rsidRDefault="008B4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3"/>
    <w:rsid w:val="0004394A"/>
    <w:rsid w:val="000C4A7C"/>
    <w:rsid w:val="00110C25"/>
    <w:rsid w:val="0018580C"/>
    <w:rsid w:val="0027089E"/>
    <w:rsid w:val="002D2E10"/>
    <w:rsid w:val="00394418"/>
    <w:rsid w:val="003F47A4"/>
    <w:rsid w:val="00496F45"/>
    <w:rsid w:val="004B4934"/>
    <w:rsid w:val="004E684E"/>
    <w:rsid w:val="00565A63"/>
    <w:rsid w:val="00582646"/>
    <w:rsid w:val="005D620D"/>
    <w:rsid w:val="005F4022"/>
    <w:rsid w:val="00652B06"/>
    <w:rsid w:val="00693760"/>
    <w:rsid w:val="0070689C"/>
    <w:rsid w:val="00741DF5"/>
    <w:rsid w:val="00765245"/>
    <w:rsid w:val="007812E9"/>
    <w:rsid w:val="007D7924"/>
    <w:rsid w:val="007E3ADB"/>
    <w:rsid w:val="00811BB4"/>
    <w:rsid w:val="00890861"/>
    <w:rsid w:val="008B4763"/>
    <w:rsid w:val="00920216"/>
    <w:rsid w:val="009844D5"/>
    <w:rsid w:val="009D129C"/>
    <w:rsid w:val="009E6530"/>
    <w:rsid w:val="009F1F0F"/>
    <w:rsid w:val="00C21536"/>
    <w:rsid w:val="00C720F6"/>
    <w:rsid w:val="00CA79C7"/>
    <w:rsid w:val="00DD2927"/>
    <w:rsid w:val="00DE4DE1"/>
    <w:rsid w:val="00E57FB1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C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763"/>
  </w:style>
  <w:style w:type="paragraph" w:styleId="Footer">
    <w:name w:val="footer"/>
    <w:basedOn w:val="Normal"/>
    <w:link w:val="FooterChar"/>
    <w:uiPriority w:val="99"/>
    <w:unhideWhenUsed/>
    <w:rsid w:val="008B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63"/>
  </w:style>
  <w:style w:type="character" w:styleId="PageNumber">
    <w:name w:val="page number"/>
    <w:basedOn w:val="DefaultParagraphFont"/>
    <w:uiPriority w:val="99"/>
    <w:semiHidden/>
    <w:unhideWhenUsed/>
    <w:rsid w:val="008B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haas</dc:creator>
  <cp:keywords/>
  <dc:description/>
  <cp:lastModifiedBy>kathryn haas</cp:lastModifiedBy>
  <cp:revision>1</cp:revision>
  <dcterms:created xsi:type="dcterms:W3CDTF">2017-09-17T04:51:00Z</dcterms:created>
  <dcterms:modified xsi:type="dcterms:W3CDTF">2017-09-17T05:00:00Z</dcterms:modified>
</cp:coreProperties>
</file>