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BAC73" w14:textId="07A0CE2A" w:rsidR="006F732E" w:rsidRPr="003433C9" w:rsidRDefault="0074561B" w:rsidP="003433C9">
      <w:pPr>
        <w:pStyle w:val="Title"/>
      </w:pPr>
      <w:bookmarkStart w:id="0" w:name="_GoBack"/>
      <w:bookmarkEnd w:id="0"/>
      <w:r>
        <w:t>Network Infrastructure: Using SDN to Facilitate Data Transfer Project (CC-NIE)</w:t>
      </w:r>
      <w:r w:rsidR="003A1C5F">
        <w:t xml:space="preserve"> Scope</w:t>
      </w:r>
    </w:p>
    <w:p w14:paraId="2F338DF2" w14:textId="77777777" w:rsidR="006F732E" w:rsidRDefault="00C260AC" w:rsidP="00A852D7">
      <w:pPr>
        <w:pStyle w:val="Heading1"/>
      </w:pPr>
      <w:r>
        <w:t>General information</w:t>
      </w:r>
    </w:p>
    <w:p w14:paraId="67D95268" w14:textId="77777777" w:rsidR="00C260AC" w:rsidRDefault="00C260AC" w:rsidP="00C260AC">
      <w:pPr>
        <w:pStyle w:val="BodyText"/>
      </w:pPr>
      <w:r>
        <w:t xml:space="preserve">The table below provides general information about the </w:t>
      </w:r>
      <w:r w:rsidR="00491E1B">
        <w:t xml:space="preserve">service and primary resources involved </w:t>
      </w:r>
      <w:r>
        <w:t>project/initiative.</w:t>
      </w:r>
    </w:p>
    <w:tbl>
      <w:tblPr>
        <w:tblStyle w:val="LightGrid-Accent1"/>
        <w:tblW w:w="0" w:type="auto"/>
        <w:tblLook w:val="04A0" w:firstRow="1" w:lastRow="0" w:firstColumn="1" w:lastColumn="0" w:noHBand="0" w:noVBand="1"/>
      </w:tblPr>
      <w:tblGrid>
        <w:gridCol w:w="4428"/>
        <w:gridCol w:w="4428"/>
      </w:tblGrid>
      <w:tr w:rsidR="00C260AC" w14:paraId="76FB899B" w14:textId="77777777" w:rsidTr="00EA6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73B434A" w14:textId="77777777" w:rsidR="00C260AC" w:rsidRPr="00C36E4C" w:rsidRDefault="00EA65AA" w:rsidP="00C260AC">
            <w:pPr>
              <w:pStyle w:val="BodyText"/>
              <w:rPr>
                <w:b w:val="0"/>
                <w:bCs w:val="0"/>
              </w:rPr>
            </w:pPr>
            <w:r>
              <w:t>Project Manager</w:t>
            </w:r>
          </w:p>
        </w:tc>
        <w:tc>
          <w:tcPr>
            <w:tcW w:w="4428" w:type="dxa"/>
          </w:tcPr>
          <w:p w14:paraId="579129C0" w14:textId="6B91A163" w:rsidR="00C260AC" w:rsidRPr="00C36E4C" w:rsidRDefault="0076103B" w:rsidP="00C260AC">
            <w:pPr>
              <w:pStyle w:val="Body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Laurie Harris</w:t>
            </w:r>
          </w:p>
        </w:tc>
      </w:tr>
      <w:tr w:rsidR="00EA65AA" w14:paraId="621DA801" w14:textId="77777777" w:rsidTr="00EA6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ADAFDDD" w14:textId="77777777" w:rsidR="00EA65AA" w:rsidRPr="00EA65AA" w:rsidRDefault="00EA65AA" w:rsidP="00C260AC">
            <w:pPr>
              <w:pStyle w:val="BodyText"/>
              <w:rPr>
                <w:bCs w:val="0"/>
              </w:rPr>
            </w:pPr>
            <w:r>
              <w:rPr>
                <w:bCs w:val="0"/>
              </w:rPr>
              <w:t>Project Sponsor(s)</w:t>
            </w:r>
          </w:p>
        </w:tc>
        <w:tc>
          <w:tcPr>
            <w:tcW w:w="4428" w:type="dxa"/>
          </w:tcPr>
          <w:p w14:paraId="2E49D92F" w14:textId="1762975D" w:rsidR="00EA65AA" w:rsidRDefault="003B7210" w:rsidP="00C260AC">
            <w:pPr>
              <w:pStyle w:val="BodyText"/>
              <w:cnfStyle w:val="000000100000" w:firstRow="0" w:lastRow="0" w:firstColumn="0" w:lastColumn="0" w:oddVBand="0" w:evenVBand="0" w:oddHBand="1" w:evenHBand="0" w:firstRowFirstColumn="0" w:firstRowLastColumn="0" w:lastRowFirstColumn="0" w:lastRowLastColumn="0"/>
            </w:pPr>
            <w:r>
              <w:t>Tracy Futhey</w:t>
            </w:r>
          </w:p>
        </w:tc>
      </w:tr>
      <w:tr w:rsidR="00C260AC" w14:paraId="199FCCB6" w14:textId="77777777" w:rsidTr="00EA65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6C31697" w14:textId="25EFC06B" w:rsidR="00C260AC" w:rsidRPr="00C36E4C" w:rsidRDefault="00C260AC" w:rsidP="00C260AC">
            <w:pPr>
              <w:pStyle w:val="BodyText"/>
              <w:rPr>
                <w:b w:val="0"/>
                <w:bCs w:val="0"/>
              </w:rPr>
            </w:pPr>
            <w:r w:rsidRPr="00EA65AA">
              <w:t>Primary operational resource</w:t>
            </w:r>
            <w:r w:rsidR="00C42077">
              <w:t>(s)</w:t>
            </w:r>
          </w:p>
        </w:tc>
        <w:tc>
          <w:tcPr>
            <w:tcW w:w="4428" w:type="dxa"/>
          </w:tcPr>
          <w:p w14:paraId="25466BBC" w14:textId="37B8C1CC" w:rsidR="00C260AC" w:rsidRDefault="009473C5" w:rsidP="00C260AC">
            <w:pPr>
              <w:pStyle w:val="BodyText"/>
              <w:cnfStyle w:val="000000010000" w:firstRow="0" w:lastRow="0" w:firstColumn="0" w:lastColumn="0" w:oddVBand="0" w:evenVBand="0" w:oddHBand="0" w:evenHBand="1" w:firstRowFirstColumn="0" w:firstRowLastColumn="0" w:lastRowFirstColumn="0" w:lastRowLastColumn="0"/>
            </w:pPr>
            <w:r>
              <w:t>John Por</w:t>
            </w:r>
            <w:r w:rsidR="00C93265">
              <w:t>mann</w:t>
            </w:r>
          </w:p>
        </w:tc>
      </w:tr>
      <w:tr w:rsidR="00C260AC" w14:paraId="0DFAEB2F" w14:textId="77777777" w:rsidTr="00EA6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27D2B8D" w14:textId="77777777" w:rsidR="00C260AC" w:rsidRPr="00C36E4C" w:rsidRDefault="00491E1B" w:rsidP="00491E1B">
            <w:pPr>
              <w:pStyle w:val="BodyText"/>
              <w:rPr>
                <w:b w:val="0"/>
                <w:bCs w:val="0"/>
              </w:rPr>
            </w:pPr>
            <w:r w:rsidRPr="00C36E4C">
              <w:t>Other key operational resources (to whom the PCS and primary operational resources are accountable)</w:t>
            </w:r>
          </w:p>
        </w:tc>
        <w:tc>
          <w:tcPr>
            <w:tcW w:w="4428" w:type="dxa"/>
          </w:tcPr>
          <w:p w14:paraId="36FC7400" w14:textId="3E4FD31B" w:rsidR="00C260AC" w:rsidRDefault="009A7147" w:rsidP="00C260AC">
            <w:pPr>
              <w:pStyle w:val="BodyText"/>
              <w:cnfStyle w:val="000000100000" w:firstRow="0" w:lastRow="0" w:firstColumn="0" w:lastColumn="0" w:oddVBand="0" w:evenVBand="0" w:oddHBand="1" w:evenHBand="0" w:firstRowFirstColumn="0" w:firstRowLastColumn="0" w:lastRowFirstColumn="0" w:lastRowLastColumn="0"/>
            </w:pPr>
            <w:r>
              <w:t>Charley Kneifel</w:t>
            </w:r>
            <w:r w:rsidR="003B7210">
              <w:t>, John Board, Robert Johnson, Julian Lombardi</w:t>
            </w:r>
          </w:p>
        </w:tc>
      </w:tr>
      <w:tr w:rsidR="00F91F88" w14:paraId="495F264F" w14:textId="77777777" w:rsidTr="00EA65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6E1D32FA" w14:textId="77777777" w:rsidR="00F91F88" w:rsidRPr="00C36E4C" w:rsidRDefault="00F91F88" w:rsidP="008841F7">
            <w:pPr>
              <w:pStyle w:val="BodyText"/>
              <w:rPr>
                <w:b w:val="0"/>
                <w:bCs w:val="0"/>
              </w:rPr>
            </w:pPr>
            <w:r w:rsidRPr="00C36E4C">
              <w:t>Service owner (functional)</w:t>
            </w:r>
          </w:p>
        </w:tc>
        <w:tc>
          <w:tcPr>
            <w:tcW w:w="4428" w:type="dxa"/>
          </w:tcPr>
          <w:p w14:paraId="713996E8" w14:textId="0093D0CC" w:rsidR="00F91F88" w:rsidRDefault="00747860" w:rsidP="00C260AC">
            <w:pPr>
              <w:pStyle w:val="BodyText"/>
              <w:cnfStyle w:val="000000010000" w:firstRow="0" w:lastRow="0" w:firstColumn="0" w:lastColumn="0" w:oddVBand="0" w:evenVBand="0" w:oddHBand="0" w:evenHBand="1" w:firstRowFirstColumn="0" w:firstRowLastColumn="0" w:lastRowFirstColumn="0" w:lastRowLastColumn="0"/>
            </w:pPr>
            <w:r>
              <w:t>John Pormann</w:t>
            </w:r>
          </w:p>
        </w:tc>
      </w:tr>
      <w:tr w:rsidR="00F91F88" w14:paraId="635F05AC" w14:textId="77777777" w:rsidTr="00EA6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624D916B" w14:textId="77777777" w:rsidR="00F91F88" w:rsidRPr="00C36E4C" w:rsidRDefault="00F91F88" w:rsidP="008841F7">
            <w:pPr>
              <w:pStyle w:val="BodyText"/>
              <w:rPr>
                <w:b w:val="0"/>
                <w:bCs w:val="0"/>
              </w:rPr>
            </w:pPr>
            <w:r w:rsidRPr="00C36E4C">
              <w:t>Service manager (technical)</w:t>
            </w:r>
          </w:p>
        </w:tc>
        <w:tc>
          <w:tcPr>
            <w:tcW w:w="4428" w:type="dxa"/>
          </w:tcPr>
          <w:p w14:paraId="54D0A537" w14:textId="2B55C60E" w:rsidR="00F91F88" w:rsidRDefault="00747860" w:rsidP="00C260AC">
            <w:pPr>
              <w:pStyle w:val="BodyText"/>
              <w:cnfStyle w:val="000000100000" w:firstRow="0" w:lastRow="0" w:firstColumn="0" w:lastColumn="0" w:oddVBand="0" w:evenVBand="0" w:oddHBand="1" w:evenHBand="0" w:firstRowFirstColumn="0" w:firstRowLastColumn="0" w:lastRowFirstColumn="0" w:lastRowLastColumn="0"/>
            </w:pPr>
            <w:r>
              <w:t>Travis Montgomery</w:t>
            </w:r>
          </w:p>
        </w:tc>
      </w:tr>
      <w:tr w:rsidR="00A05246" w14:paraId="187D4F30" w14:textId="77777777" w:rsidTr="00EA65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F697764" w14:textId="77777777" w:rsidR="00A05246" w:rsidRPr="00C36E4C" w:rsidRDefault="00A05246" w:rsidP="008841F7">
            <w:pPr>
              <w:pStyle w:val="BodyText"/>
              <w:rPr>
                <w:b w:val="0"/>
                <w:bCs w:val="0"/>
              </w:rPr>
            </w:pPr>
            <w:r>
              <w:t>Service(s) i</w:t>
            </w:r>
            <w:r w:rsidRPr="00C36E4C">
              <w:t>mpacted</w:t>
            </w:r>
          </w:p>
        </w:tc>
        <w:tc>
          <w:tcPr>
            <w:tcW w:w="4428" w:type="dxa"/>
          </w:tcPr>
          <w:p w14:paraId="1C16245A" w14:textId="387132F1" w:rsidR="00A05246" w:rsidRDefault="00E72742" w:rsidP="00C260AC">
            <w:pPr>
              <w:pStyle w:val="BodyText"/>
              <w:cnfStyle w:val="000000010000" w:firstRow="0" w:lastRow="0" w:firstColumn="0" w:lastColumn="0" w:oddVBand="0" w:evenVBand="0" w:oddHBand="0" w:evenHBand="1" w:firstRowFirstColumn="0" w:firstRowLastColumn="0" w:lastRowFirstColumn="0" w:lastRowLastColumn="0"/>
            </w:pPr>
            <w:r>
              <w:t xml:space="preserve">Duke’s production network, </w:t>
            </w:r>
            <w:r w:rsidR="006C5CDC">
              <w:t>DSCR, Duke test partner departmental networks</w:t>
            </w:r>
          </w:p>
        </w:tc>
      </w:tr>
    </w:tbl>
    <w:p w14:paraId="16C65D5A" w14:textId="77777777" w:rsidR="008841F7" w:rsidRDefault="008841F7" w:rsidP="008841F7">
      <w:pPr>
        <w:pStyle w:val="Heading1"/>
      </w:pPr>
      <w:r>
        <w:t>Resources/Project team</w:t>
      </w:r>
    </w:p>
    <w:p w14:paraId="1F3524D4" w14:textId="39801CBA" w:rsidR="009C33B2" w:rsidRPr="00C42077" w:rsidRDefault="00C42077" w:rsidP="008841F7">
      <w:pPr>
        <w:pStyle w:val="BodyText"/>
      </w:pPr>
      <w:r>
        <w:t xml:space="preserve">Jeffrey Chase, </w:t>
      </w:r>
      <w:r w:rsidR="000B6704">
        <w:t>Victor Orlikowski</w:t>
      </w:r>
      <w:r w:rsidR="009A7147">
        <w:t xml:space="preserve">, John Pormann, </w:t>
      </w:r>
      <w:r w:rsidR="009C33B2">
        <w:t xml:space="preserve">Tom </w:t>
      </w:r>
      <w:proofErr w:type="spellStart"/>
      <w:r w:rsidR="009C33B2">
        <w:t>Milledge</w:t>
      </w:r>
      <w:proofErr w:type="spellEnd"/>
      <w:r w:rsidR="009C33B2">
        <w:t xml:space="preserve"> (TBD), Dan Fredrick, Mark DeLong, </w:t>
      </w:r>
      <w:r w:rsidR="009A7147">
        <w:t>Cara Bonnett</w:t>
      </w:r>
    </w:p>
    <w:p w14:paraId="0EE255DE" w14:textId="77777777" w:rsidR="00E170D6" w:rsidRDefault="006E1345" w:rsidP="00E170D6">
      <w:pPr>
        <w:pStyle w:val="Heading1"/>
      </w:pPr>
      <w:r>
        <w:t>Description</w:t>
      </w:r>
    </w:p>
    <w:p w14:paraId="6A903175" w14:textId="77777777" w:rsidR="00A77D9F" w:rsidRPr="00A77D9F" w:rsidRDefault="00A77D9F" w:rsidP="00A77D9F">
      <w:pPr>
        <w:rPr>
          <w:rFonts w:eastAsia="Times"/>
          <w:color w:val="000000"/>
          <w:szCs w:val="20"/>
        </w:rPr>
      </w:pPr>
      <w:r w:rsidRPr="00A77D9F">
        <w:rPr>
          <w:rFonts w:eastAsia="Times"/>
          <w:color w:val="000000"/>
          <w:szCs w:val="20"/>
        </w:rPr>
        <w:t>Research computing is seeing very rapid growth in storage demands.  Some estimates put the compound aggregate growth rate for storage capacity as high as +60% per year.  Multiple units within Duke are seeing similar growth rates at, or above, +50% per year.  This includes “traditional” computationally intensive research areas like the Duke Shared Cluster Resource (DSCR), the Institute for Genome, Sciences, and Policy (IGSP), the Center for Human Genetic Variation (CHGV), and the Brain Imaging Analysis Center (BIAC).</w:t>
      </w:r>
    </w:p>
    <w:p w14:paraId="38C63DE1" w14:textId="77777777" w:rsidR="00A77D9F" w:rsidRPr="00A77D9F" w:rsidRDefault="00A77D9F" w:rsidP="00A77D9F">
      <w:pPr>
        <w:rPr>
          <w:rFonts w:eastAsia="Times"/>
          <w:color w:val="000000"/>
          <w:szCs w:val="20"/>
        </w:rPr>
      </w:pPr>
    </w:p>
    <w:p w14:paraId="1B129B4B" w14:textId="647D935E" w:rsidR="00562325" w:rsidRDefault="00562325" w:rsidP="00562325">
      <w:pPr>
        <w:rPr>
          <w:rFonts w:eastAsia="Times"/>
          <w:color w:val="000000"/>
          <w:szCs w:val="20"/>
        </w:rPr>
      </w:pPr>
      <w:r w:rsidRPr="00562325">
        <w:rPr>
          <w:rFonts w:eastAsia="Times"/>
          <w:color w:val="000000"/>
          <w:szCs w:val="20"/>
        </w:rPr>
        <w:t xml:space="preserve">Given Duke’s substantial investment in “backbone” bandwidth, the problems that researchers face in data-transfer and network-related research are clearly at the “edge” of the network:  the switches that live in department- or school-level data-centers and data-closets, and the actual file servers that contain their data.  This </w:t>
      </w:r>
      <w:r>
        <w:rPr>
          <w:rFonts w:eastAsia="Times"/>
          <w:color w:val="000000"/>
          <w:szCs w:val="20"/>
        </w:rPr>
        <w:t>project</w:t>
      </w:r>
      <w:r w:rsidRPr="00562325">
        <w:rPr>
          <w:rFonts w:eastAsia="Times"/>
          <w:color w:val="000000"/>
          <w:szCs w:val="20"/>
        </w:rPr>
        <w:t xml:space="preserve"> aims to increase the network’s performance at the edge, by both increasing the switch and the file server capabilities to 10Gbps Ethernet.</w:t>
      </w:r>
    </w:p>
    <w:p w14:paraId="5A6B56E2" w14:textId="77777777" w:rsidR="00562325" w:rsidRPr="00562325" w:rsidRDefault="00562325" w:rsidP="00562325">
      <w:pPr>
        <w:rPr>
          <w:rFonts w:eastAsia="Times"/>
          <w:color w:val="000000"/>
          <w:szCs w:val="20"/>
        </w:rPr>
      </w:pPr>
    </w:p>
    <w:p w14:paraId="40E35AFA" w14:textId="10DBE4FA" w:rsidR="00562325" w:rsidRDefault="00562325" w:rsidP="00562325">
      <w:r w:rsidRPr="00562325">
        <w:rPr>
          <w:rFonts w:eastAsia="Times"/>
          <w:color w:val="000000"/>
          <w:szCs w:val="20"/>
        </w:rPr>
        <w:t xml:space="preserve">We </w:t>
      </w:r>
      <w:r w:rsidR="00092A1A">
        <w:rPr>
          <w:rFonts w:eastAsia="Times"/>
          <w:color w:val="000000"/>
          <w:szCs w:val="20"/>
        </w:rPr>
        <w:t>will</w:t>
      </w:r>
      <w:r w:rsidRPr="00562325">
        <w:rPr>
          <w:rFonts w:eastAsia="Times"/>
          <w:color w:val="000000"/>
          <w:szCs w:val="20"/>
        </w:rPr>
        <w:t xml:space="preserve"> </w:t>
      </w:r>
      <w:r w:rsidR="00092A1A">
        <w:rPr>
          <w:rFonts w:eastAsia="Times"/>
          <w:color w:val="000000"/>
          <w:szCs w:val="20"/>
        </w:rPr>
        <w:t>upgrade several key data-centers</w:t>
      </w:r>
      <w:r w:rsidRPr="00562325">
        <w:rPr>
          <w:rFonts w:eastAsia="Times"/>
          <w:color w:val="000000"/>
          <w:szCs w:val="20"/>
        </w:rPr>
        <w:t xml:space="preserve"> with 10Gbps-capable edge switches.  We </w:t>
      </w:r>
      <w:r>
        <w:rPr>
          <w:rFonts w:eastAsia="Times"/>
          <w:color w:val="000000"/>
          <w:szCs w:val="20"/>
        </w:rPr>
        <w:t>will</w:t>
      </w:r>
      <w:r w:rsidRPr="00562325">
        <w:rPr>
          <w:rFonts w:eastAsia="Times"/>
          <w:color w:val="000000"/>
          <w:szCs w:val="20"/>
        </w:rPr>
        <w:t xml:space="preserve"> connect those switches to the campus backbone (optics/transceivers), and to individual file servers (optics/transceivers as well as network interface cards/NICs).   </w:t>
      </w:r>
      <w:r>
        <w:t xml:space="preserve">As a result, </w:t>
      </w:r>
      <w:r w:rsidRPr="00E72742">
        <w:t xml:space="preserve">researchers </w:t>
      </w:r>
      <w:r>
        <w:t xml:space="preserve">will be able </w:t>
      </w:r>
      <w:r w:rsidRPr="00E72742">
        <w:t xml:space="preserve">to move data at higher speeds (10Gbps raw bandwidth), from the edge, through the core, and out to other internal edge sites as well as external network connections.  Through the inclusion of </w:t>
      </w:r>
      <w:r w:rsidR="006D09F8">
        <w:t>research/</w:t>
      </w:r>
      <w:proofErr w:type="spellStart"/>
      <w:r w:rsidR="006D09F8">
        <w:t>openflow</w:t>
      </w:r>
      <w:proofErr w:type="spellEnd"/>
      <w:r w:rsidR="006D09F8">
        <w:t xml:space="preserve"> VRF</w:t>
      </w:r>
      <w:r w:rsidRPr="00E72742">
        <w:t xml:space="preserve"> appliances, </w:t>
      </w:r>
      <w:r>
        <w:t>researchers can</w:t>
      </w:r>
      <w:r w:rsidRPr="00E72742">
        <w:t xml:space="preserve"> better </w:t>
      </w:r>
      <w:r>
        <w:t xml:space="preserve">take </w:t>
      </w:r>
      <w:r w:rsidRPr="00E72742">
        <w:t xml:space="preserve">advantage of remote, cloud-provided information technology resources.  The reliance on currently available technology will also provide a template </w:t>
      </w:r>
      <w:r>
        <w:t>that</w:t>
      </w:r>
      <w:r w:rsidRPr="00E72742">
        <w:t xml:space="preserve"> can be replicated for future high-performance data needs. </w:t>
      </w:r>
    </w:p>
    <w:p w14:paraId="22A3FDE2" w14:textId="77777777" w:rsidR="00562325" w:rsidRPr="00562325" w:rsidRDefault="00562325" w:rsidP="00562325">
      <w:pPr>
        <w:rPr>
          <w:rFonts w:eastAsia="Times"/>
          <w:color w:val="000000"/>
          <w:szCs w:val="20"/>
        </w:rPr>
      </w:pPr>
    </w:p>
    <w:p w14:paraId="72A9C183" w14:textId="5315979A" w:rsidR="009131C4" w:rsidRDefault="009131C4" w:rsidP="00E811DA">
      <w:pPr>
        <w:pStyle w:val="BodyText"/>
      </w:pPr>
      <w:r>
        <w:t xml:space="preserve">This project is funded through a </w:t>
      </w:r>
      <w:r w:rsidR="00884043">
        <w:t xml:space="preserve">two-year </w:t>
      </w:r>
      <w:r>
        <w:t>grant from the National Science Fo</w:t>
      </w:r>
      <w:r w:rsidR="009A6D06">
        <w:t xml:space="preserve">undation under the Campus </w:t>
      </w:r>
      <w:proofErr w:type="spellStart"/>
      <w:r w:rsidR="009A6D06">
        <w:t>CyberI</w:t>
      </w:r>
      <w:r>
        <w:t>nfrastructure</w:t>
      </w:r>
      <w:proofErr w:type="spellEnd"/>
      <w:r>
        <w:t xml:space="preserve"> program</w:t>
      </w:r>
      <w:r w:rsidR="003C4528">
        <w:t xml:space="preserve"> (funding is available beginning 1/1/2013)</w:t>
      </w:r>
      <w:r>
        <w:t>.  Grant PI is Tracy Futhey; co-PI is John Board.</w:t>
      </w:r>
    </w:p>
    <w:p w14:paraId="0AFBB875" w14:textId="77777777" w:rsidR="00E811DA" w:rsidRDefault="00E811DA" w:rsidP="00E811DA">
      <w:pPr>
        <w:pStyle w:val="Heading1"/>
      </w:pPr>
      <w:r>
        <w:t>Goals</w:t>
      </w:r>
    </w:p>
    <w:p w14:paraId="006302C3" w14:textId="77777777" w:rsidR="00525A0F" w:rsidRDefault="00525A0F" w:rsidP="00525A0F">
      <w:r w:rsidRPr="00525A0F">
        <w:t>The goal</w:t>
      </w:r>
      <w:r>
        <w:t>s</w:t>
      </w:r>
      <w:r w:rsidRPr="00525A0F">
        <w:t xml:space="preserve"> of this </w:t>
      </w:r>
      <w:r>
        <w:t>project</w:t>
      </w:r>
      <w:r w:rsidRPr="00525A0F">
        <w:t xml:space="preserve"> </w:t>
      </w:r>
      <w:r>
        <w:t>are</w:t>
      </w:r>
      <w:r w:rsidRPr="00525A0F">
        <w:t xml:space="preserve"> to </w:t>
      </w:r>
    </w:p>
    <w:p w14:paraId="5BE102FC" w14:textId="1D9AB373" w:rsidR="00525A0F" w:rsidRDefault="00525A0F" w:rsidP="00525A0F">
      <w:pPr>
        <w:pStyle w:val="ListParagraph"/>
        <w:numPr>
          <w:ilvl w:val="0"/>
          <w:numId w:val="12"/>
        </w:numPr>
      </w:pPr>
      <w:r>
        <w:t>P</w:t>
      </w:r>
      <w:r w:rsidRPr="00525A0F">
        <w:t>rovide a significant, usable increase in network bandwidth without requiring noticeable chang</w:t>
      </w:r>
      <w:r>
        <w:t>es to a researcher’s workflow</w:t>
      </w:r>
      <w:r w:rsidR="00354862">
        <w:t xml:space="preserve"> through implementation of a multi-vendor, standards-based solution</w:t>
      </w:r>
    </w:p>
    <w:p w14:paraId="4B33C48E" w14:textId="5E6CC24E" w:rsidR="00525A0F" w:rsidRDefault="00525A0F" w:rsidP="00525A0F">
      <w:pPr>
        <w:pStyle w:val="ListParagraph"/>
        <w:numPr>
          <w:ilvl w:val="0"/>
          <w:numId w:val="12"/>
        </w:numPr>
      </w:pPr>
      <w:r>
        <w:t xml:space="preserve">Deploy new tools (e.g. HSCP and </w:t>
      </w:r>
      <w:proofErr w:type="spellStart"/>
      <w:r>
        <w:t>GridFTP</w:t>
      </w:r>
      <w:proofErr w:type="spellEnd"/>
      <w:r>
        <w:t>) for better performance</w:t>
      </w:r>
    </w:p>
    <w:p w14:paraId="089F32CE" w14:textId="13DE59D2" w:rsidR="00525A0F" w:rsidRDefault="00525A0F" w:rsidP="00525A0F">
      <w:pPr>
        <w:pStyle w:val="ListParagraph"/>
        <w:numPr>
          <w:ilvl w:val="0"/>
          <w:numId w:val="12"/>
        </w:numPr>
      </w:pPr>
      <w:r>
        <w:t xml:space="preserve">Provide training, 1:1 consultation and support to researchers on tools like HSCP and </w:t>
      </w:r>
      <w:proofErr w:type="spellStart"/>
      <w:r>
        <w:t>GridFTP</w:t>
      </w:r>
      <w:proofErr w:type="spellEnd"/>
      <w:r>
        <w:t xml:space="preserve"> through the Scalable Computing Support Center</w:t>
      </w:r>
    </w:p>
    <w:p w14:paraId="5C086795" w14:textId="7A4C3682" w:rsidR="00E8164F" w:rsidRDefault="008E45A9" w:rsidP="00525A0F">
      <w:pPr>
        <w:pStyle w:val="ListParagraph"/>
        <w:numPr>
          <w:ilvl w:val="0"/>
          <w:numId w:val="12"/>
        </w:numPr>
      </w:pPr>
      <w:r>
        <w:t>Enable</w:t>
      </w:r>
      <w:r w:rsidR="00E8164F">
        <w:t xml:space="preserve"> the DSCR to be a better resource for university research computing through connectivity into the SDN bypass network</w:t>
      </w:r>
    </w:p>
    <w:p w14:paraId="2E9C8AAE" w14:textId="77777777" w:rsidR="00747D08" w:rsidRDefault="00747D08" w:rsidP="00C8214E">
      <w:pPr>
        <w:pStyle w:val="Heading1"/>
      </w:pPr>
      <w:r>
        <w:t>Assumptions</w:t>
      </w:r>
    </w:p>
    <w:p w14:paraId="2F20FC48" w14:textId="77777777" w:rsidR="00175F36" w:rsidRPr="001D5EA9" w:rsidRDefault="00175F36" w:rsidP="00175F36">
      <w:pPr>
        <w:pStyle w:val="BodyText"/>
      </w:pPr>
      <w:r w:rsidRPr="001D5EA9">
        <w:t>To be determined by sponsors and team.</w:t>
      </w:r>
    </w:p>
    <w:p w14:paraId="5C0F26BA" w14:textId="77777777" w:rsidR="006B760C" w:rsidRDefault="006B760C" w:rsidP="006B760C">
      <w:pPr>
        <w:pStyle w:val="Heading1"/>
      </w:pPr>
      <w:r>
        <w:t>Constraints</w:t>
      </w:r>
    </w:p>
    <w:p w14:paraId="4C4D9319" w14:textId="333ECB2C" w:rsidR="006B760C" w:rsidRDefault="00F52576" w:rsidP="00F52576">
      <w:pPr>
        <w:pStyle w:val="BodyText"/>
        <w:numPr>
          <w:ilvl w:val="0"/>
          <w:numId w:val="21"/>
        </w:numPr>
      </w:pPr>
      <w:r>
        <w:t xml:space="preserve">Testing activities may be constrained by availability of </w:t>
      </w:r>
      <w:r w:rsidR="00EB695C">
        <w:t>local</w:t>
      </w:r>
      <w:r>
        <w:t xml:space="preserve"> research staff in partner departments</w:t>
      </w:r>
      <w:r w:rsidR="00A46FBF">
        <w:t>; equipment loans are for a specific period of time and testing activities need to be concluded within the loan time period.</w:t>
      </w:r>
    </w:p>
    <w:p w14:paraId="29DD219E" w14:textId="369386EE" w:rsidR="00EB695C" w:rsidRPr="00F52576" w:rsidRDefault="00EB695C" w:rsidP="00F52576">
      <w:pPr>
        <w:pStyle w:val="BodyText"/>
        <w:numPr>
          <w:ilvl w:val="0"/>
          <w:numId w:val="21"/>
        </w:numPr>
      </w:pPr>
      <w:r>
        <w:t>OIT does not control local IT resources that are needed to implement network configuration changes on local servers.</w:t>
      </w:r>
    </w:p>
    <w:p w14:paraId="571104A4" w14:textId="77777777" w:rsidR="00E841C6" w:rsidRDefault="00E841C6" w:rsidP="00E841C6">
      <w:pPr>
        <w:pStyle w:val="Heading1"/>
      </w:pPr>
      <w:r>
        <w:t>Exclusions</w:t>
      </w:r>
    </w:p>
    <w:p w14:paraId="42EBEA42" w14:textId="60DE9DF9" w:rsidR="00E841C6" w:rsidRPr="001D5EA9" w:rsidRDefault="001D5EA9" w:rsidP="00E841C6">
      <w:pPr>
        <w:pStyle w:val="BodyText"/>
      </w:pPr>
      <w:r w:rsidRPr="001D5EA9">
        <w:t>To be determined by sponsors and team.</w:t>
      </w:r>
    </w:p>
    <w:p w14:paraId="6F86C848" w14:textId="77777777" w:rsidR="00747D08" w:rsidRDefault="00747D08" w:rsidP="00C8214E">
      <w:pPr>
        <w:pStyle w:val="Heading1"/>
      </w:pPr>
      <w:r>
        <w:t>Risks</w:t>
      </w:r>
    </w:p>
    <w:p w14:paraId="7C8A21E5" w14:textId="77777777" w:rsidR="001D5EA9" w:rsidRPr="001D5EA9" w:rsidRDefault="001D5EA9" w:rsidP="001D5EA9">
      <w:pPr>
        <w:pStyle w:val="BodyText"/>
      </w:pPr>
      <w:r w:rsidRPr="001D5EA9">
        <w:t>To be determined by sponsors and team.</w:t>
      </w:r>
    </w:p>
    <w:p w14:paraId="414232B1" w14:textId="77777777" w:rsidR="00747D08" w:rsidRDefault="00747D08" w:rsidP="008B27D3">
      <w:pPr>
        <w:pStyle w:val="Heading1"/>
      </w:pPr>
      <w:r>
        <w:t>Costs</w:t>
      </w:r>
    </w:p>
    <w:tbl>
      <w:tblPr>
        <w:tblStyle w:val="MediumShading1-Accent1"/>
        <w:tblW w:w="9600" w:type="dxa"/>
        <w:tblLook w:val="04A0" w:firstRow="1" w:lastRow="0" w:firstColumn="1" w:lastColumn="0" w:noHBand="0" w:noVBand="1"/>
      </w:tblPr>
      <w:tblGrid>
        <w:gridCol w:w="1480"/>
        <w:gridCol w:w="3501"/>
        <w:gridCol w:w="1000"/>
        <w:gridCol w:w="1140"/>
        <w:gridCol w:w="1234"/>
        <w:gridCol w:w="1245"/>
      </w:tblGrid>
      <w:tr w:rsidR="00A0469E" w:rsidRPr="005558E1" w14:paraId="3124F929" w14:textId="77777777" w:rsidTr="00A46FB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48C59F08" w14:textId="77777777" w:rsidR="005558E1" w:rsidRPr="005558E1" w:rsidRDefault="005558E1" w:rsidP="005558E1">
            <w:pPr>
              <w:rPr>
                <w:color w:val="000000"/>
                <w:szCs w:val="20"/>
              </w:rPr>
            </w:pPr>
            <w:r w:rsidRPr="005558E1">
              <w:rPr>
                <w:color w:val="000000"/>
                <w:szCs w:val="20"/>
              </w:rPr>
              <w:t>Year One</w:t>
            </w:r>
          </w:p>
        </w:tc>
        <w:tc>
          <w:tcPr>
            <w:tcW w:w="3501" w:type="dxa"/>
            <w:hideMark/>
          </w:tcPr>
          <w:p w14:paraId="6072C062" w14:textId="77777777" w:rsidR="005558E1" w:rsidRPr="005558E1" w:rsidRDefault="005558E1" w:rsidP="005558E1">
            <w:pPr>
              <w:cnfStyle w:val="100000000000" w:firstRow="1" w:lastRow="0" w:firstColumn="0" w:lastColumn="0" w:oddVBand="0" w:evenVBand="0" w:oddHBand="0" w:evenHBand="0" w:firstRowFirstColumn="0" w:firstRowLastColumn="0" w:lastRowFirstColumn="0" w:lastRowLastColumn="0"/>
              <w:rPr>
                <w:color w:val="000000"/>
                <w:szCs w:val="20"/>
              </w:rPr>
            </w:pPr>
            <w:r w:rsidRPr="005558E1">
              <w:rPr>
                <w:color w:val="000000"/>
                <w:szCs w:val="20"/>
              </w:rPr>
              <w:t> </w:t>
            </w:r>
          </w:p>
        </w:tc>
        <w:tc>
          <w:tcPr>
            <w:tcW w:w="1000" w:type="dxa"/>
            <w:noWrap/>
            <w:hideMark/>
          </w:tcPr>
          <w:p w14:paraId="2D4B5E92" w14:textId="77777777" w:rsidR="005558E1" w:rsidRPr="005558E1" w:rsidRDefault="005558E1" w:rsidP="005558E1">
            <w:pPr>
              <w:cnfStyle w:val="100000000000" w:firstRow="1" w:lastRow="0" w:firstColumn="0" w:lastColumn="0" w:oddVBand="0" w:evenVBand="0" w:oddHBand="0" w:evenHBand="0" w:firstRowFirstColumn="0" w:firstRowLastColumn="0" w:lastRowFirstColumn="0" w:lastRowLastColumn="0"/>
              <w:rPr>
                <w:color w:val="000000"/>
                <w:szCs w:val="20"/>
              </w:rPr>
            </w:pPr>
            <w:r w:rsidRPr="005558E1">
              <w:rPr>
                <w:color w:val="000000"/>
                <w:szCs w:val="20"/>
              </w:rPr>
              <w:t> </w:t>
            </w:r>
          </w:p>
        </w:tc>
        <w:tc>
          <w:tcPr>
            <w:tcW w:w="1140" w:type="dxa"/>
            <w:noWrap/>
            <w:hideMark/>
          </w:tcPr>
          <w:p w14:paraId="3F77E141" w14:textId="77777777" w:rsidR="005558E1" w:rsidRPr="005558E1" w:rsidRDefault="005558E1" w:rsidP="005558E1">
            <w:pPr>
              <w:cnfStyle w:val="100000000000" w:firstRow="1" w:lastRow="0" w:firstColumn="0" w:lastColumn="0" w:oddVBand="0" w:evenVBand="0" w:oddHBand="0" w:evenHBand="0" w:firstRowFirstColumn="0" w:firstRowLastColumn="0" w:lastRowFirstColumn="0" w:lastRowLastColumn="0"/>
              <w:rPr>
                <w:color w:val="000000"/>
                <w:szCs w:val="20"/>
              </w:rPr>
            </w:pPr>
            <w:r w:rsidRPr="005558E1">
              <w:rPr>
                <w:color w:val="000000"/>
                <w:szCs w:val="20"/>
              </w:rPr>
              <w:t> </w:t>
            </w:r>
          </w:p>
        </w:tc>
        <w:tc>
          <w:tcPr>
            <w:tcW w:w="1234" w:type="dxa"/>
            <w:noWrap/>
            <w:hideMark/>
          </w:tcPr>
          <w:p w14:paraId="750948C3" w14:textId="77777777" w:rsidR="005558E1" w:rsidRPr="005558E1" w:rsidRDefault="005558E1" w:rsidP="005558E1">
            <w:pPr>
              <w:cnfStyle w:val="100000000000" w:firstRow="1" w:lastRow="0" w:firstColumn="0" w:lastColumn="0" w:oddVBand="0" w:evenVBand="0" w:oddHBand="0" w:evenHBand="0" w:firstRowFirstColumn="0" w:firstRowLastColumn="0" w:lastRowFirstColumn="0" w:lastRowLastColumn="0"/>
              <w:rPr>
                <w:color w:val="000000"/>
                <w:szCs w:val="20"/>
              </w:rPr>
            </w:pPr>
            <w:r w:rsidRPr="005558E1">
              <w:rPr>
                <w:color w:val="000000"/>
                <w:szCs w:val="20"/>
              </w:rPr>
              <w:t> </w:t>
            </w:r>
          </w:p>
        </w:tc>
        <w:tc>
          <w:tcPr>
            <w:tcW w:w="1245" w:type="dxa"/>
            <w:hideMark/>
          </w:tcPr>
          <w:p w14:paraId="00394BFE" w14:textId="77777777" w:rsidR="005558E1" w:rsidRPr="005558E1" w:rsidRDefault="005558E1" w:rsidP="005558E1">
            <w:pPr>
              <w:cnfStyle w:val="100000000000" w:firstRow="1" w:lastRow="0" w:firstColumn="0" w:lastColumn="0" w:oddVBand="0" w:evenVBand="0" w:oddHBand="0" w:evenHBand="0" w:firstRowFirstColumn="0" w:firstRowLastColumn="0" w:lastRowFirstColumn="0" w:lastRowLastColumn="0"/>
              <w:rPr>
                <w:color w:val="000000"/>
                <w:szCs w:val="20"/>
              </w:rPr>
            </w:pPr>
            <w:r w:rsidRPr="005558E1">
              <w:rPr>
                <w:color w:val="000000"/>
                <w:szCs w:val="20"/>
              </w:rPr>
              <w:t> </w:t>
            </w:r>
          </w:p>
        </w:tc>
      </w:tr>
      <w:tr w:rsidR="005558E1" w:rsidRPr="005558E1" w14:paraId="394F3668" w14:textId="77777777" w:rsidTr="00A46F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727761F9" w14:textId="77777777" w:rsidR="005558E1" w:rsidRPr="005558E1" w:rsidRDefault="005558E1" w:rsidP="005558E1">
            <w:pPr>
              <w:rPr>
                <w:color w:val="000000"/>
                <w:szCs w:val="20"/>
              </w:rPr>
            </w:pPr>
            <w:r w:rsidRPr="005558E1">
              <w:rPr>
                <w:color w:val="000000"/>
                <w:szCs w:val="20"/>
              </w:rPr>
              <w:t> </w:t>
            </w:r>
          </w:p>
        </w:tc>
        <w:tc>
          <w:tcPr>
            <w:tcW w:w="3501" w:type="dxa"/>
            <w:hideMark/>
          </w:tcPr>
          <w:p w14:paraId="68F69201" w14:textId="77777777" w:rsidR="005558E1" w:rsidRPr="005558E1" w:rsidRDefault="005558E1" w:rsidP="005558E1">
            <w:pPr>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 </w:t>
            </w:r>
          </w:p>
        </w:tc>
        <w:tc>
          <w:tcPr>
            <w:tcW w:w="1000" w:type="dxa"/>
            <w:noWrap/>
            <w:hideMark/>
          </w:tcPr>
          <w:p w14:paraId="564C16A4" w14:textId="77777777" w:rsidR="005558E1" w:rsidRPr="005558E1" w:rsidRDefault="005558E1" w:rsidP="005558E1">
            <w:pPr>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 </w:t>
            </w:r>
          </w:p>
        </w:tc>
        <w:tc>
          <w:tcPr>
            <w:tcW w:w="1140" w:type="dxa"/>
            <w:noWrap/>
            <w:hideMark/>
          </w:tcPr>
          <w:p w14:paraId="400D6918" w14:textId="77777777" w:rsidR="005558E1" w:rsidRPr="005558E1" w:rsidRDefault="005558E1" w:rsidP="005558E1">
            <w:pPr>
              <w:jc w:val="center"/>
              <w:cnfStyle w:val="000000100000" w:firstRow="0" w:lastRow="0" w:firstColumn="0" w:lastColumn="0" w:oddVBand="0" w:evenVBand="0" w:oddHBand="1" w:evenHBand="0" w:firstRowFirstColumn="0" w:firstRowLastColumn="0" w:lastRowFirstColumn="0" w:lastRowLastColumn="0"/>
              <w:rPr>
                <w:b/>
                <w:bCs/>
                <w:color w:val="000000"/>
                <w:szCs w:val="20"/>
              </w:rPr>
            </w:pPr>
            <w:r w:rsidRPr="005558E1">
              <w:rPr>
                <w:b/>
                <w:bCs/>
                <w:color w:val="000000"/>
                <w:szCs w:val="20"/>
              </w:rPr>
              <w:t xml:space="preserve">Unit Cost </w:t>
            </w:r>
          </w:p>
        </w:tc>
        <w:tc>
          <w:tcPr>
            <w:tcW w:w="1234" w:type="dxa"/>
            <w:noWrap/>
            <w:hideMark/>
          </w:tcPr>
          <w:p w14:paraId="5D859D8D" w14:textId="77777777" w:rsidR="005558E1" w:rsidRPr="005558E1" w:rsidRDefault="005558E1" w:rsidP="005558E1">
            <w:pPr>
              <w:jc w:val="center"/>
              <w:cnfStyle w:val="000000100000" w:firstRow="0" w:lastRow="0" w:firstColumn="0" w:lastColumn="0" w:oddVBand="0" w:evenVBand="0" w:oddHBand="1" w:evenHBand="0" w:firstRowFirstColumn="0" w:firstRowLastColumn="0" w:lastRowFirstColumn="0" w:lastRowLastColumn="0"/>
              <w:rPr>
                <w:b/>
                <w:bCs/>
                <w:color w:val="000000"/>
                <w:szCs w:val="20"/>
              </w:rPr>
            </w:pPr>
            <w:r w:rsidRPr="005558E1">
              <w:rPr>
                <w:b/>
                <w:bCs/>
                <w:color w:val="000000"/>
                <w:szCs w:val="20"/>
              </w:rPr>
              <w:t>Total</w:t>
            </w:r>
          </w:p>
        </w:tc>
        <w:tc>
          <w:tcPr>
            <w:tcW w:w="1245" w:type="dxa"/>
            <w:hideMark/>
          </w:tcPr>
          <w:p w14:paraId="69FA1046" w14:textId="77777777" w:rsidR="005558E1" w:rsidRPr="005558E1" w:rsidRDefault="005558E1" w:rsidP="005558E1">
            <w:pPr>
              <w:jc w:val="center"/>
              <w:cnfStyle w:val="000000100000" w:firstRow="0" w:lastRow="0" w:firstColumn="0" w:lastColumn="0" w:oddVBand="0" w:evenVBand="0" w:oddHBand="1" w:evenHBand="0" w:firstRowFirstColumn="0" w:firstRowLastColumn="0" w:lastRowFirstColumn="0" w:lastRowLastColumn="0"/>
              <w:rPr>
                <w:b/>
                <w:bCs/>
                <w:color w:val="000000"/>
                <w:szCs w:val="20"/>
              </w:rPr>
            </w:pPr>
            <w:r w:rsidRPr="005558E1">
              <w:rPr>
                <w:b/>
                <w:bCs/>
                <w:color w:val="000000"/>
                <w:szCs w:val="20"/>
              </w:rPr>
              <w:t>Notes</w:t>
            </w:r>
          </w:p>
        </w:tc>
      </w:tr>
      <w:tr w:rsidR="005558E1" w:rsidRPr="005558E1" w14:paraId="594A394B" w14:textId="77777777" w:rsidTr="00A46FBF">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2EE6F99E" w14:textId="77777777" w:rsidR="005558E1" w:rsidRPr="005558E1" w:rsidRDefault="005558E1" w:rsidP="005558E1">
            <w:pPr>
              <w:rPr>
                <w:color w:val="000000"/>
                <w:szCs w:val="20"/>
              </w:rPr>
            </w:pPr>
            <w:r w:rsidRPr="005558E1">
              <w:rPr>
                <w:color w:val="000000"/>
                <w:szCs w:val="20"/>
              </w:rPr>
              <w:t>Personnel</w:t>
            </w:r>
          </w:p>
        </w:tc>
        <w:tc>
          <w:tcPr>
            <w:tcW w:w="3501" w:type="dxa"/>
            <w:hideMark/>
          </w:tcPr>
          <w:p w14:paraId="6E02E0F6"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Senior IT Analyst</w:t>
            </w:r>
          </w:p>
        </w:tc>
        <w:tc>
          <w:tcPr>
            <w:tcW w:w="1000" w:type="dxa"/>
            <w:noWrap/>
            <w:hideMark/>
          </w:tcPr>
          <w:p w14:paraId="7F7D30E7" w14:textId="77777777" w:rsidR="005558E1" w:rsidRPr="005558E1" w:rsidRDefault="005558E1" w:rsidP="005558E1">
            <w:pPr>
              <w:jc w:val="cente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25% FTE</w:t>
            </w:r>
          </w:p>
        </w:tc>
        <w:tc>
          <w:tcPr>
            <w:tcW w:w="1140" w:type="dxa"/>
            <w:noWrap/>
            <w:hideMark/>
          </w:tcPr>
          <w:p w14:paraId="00CA11B9"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 </w:t>
            </w:r>
          </w:p>
        </w:tc>
        <w:tc>
          <w:tcPr>
            <w:tcW w:w="1234" w:type="dxa"/>
            <w:noWrap/>
            <w:hideMark/>
          </w:tcPr>
          <w:p w14:paraId="631686CD"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 </w:t>
            </w:r>
          </w:p>
        </w:tc>
        <w:tc>
          <w:tcPr>
            <w:tcW w:w="1245" w:type="dxa"/>
            <w:hideMark/>
          </w:tcPr>
          <w:p w14:paraId="723E40D6"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Staffing costs are TBD</w:t>
            </w:r>
          </w:p>
        </w:tc>
      </w:tr>
      <w:tr w:rsidR="005558E1" w:rsidRPr="005558E1" w14:paraId="59A32911" w14:textId="77777777" w:rsidTr="00A46F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0F84CD4A" w14:textId="77777777" w:rsidR="005558E1" w:rsidRPr="005558E1" w:rsidRDefault="005558E1" w:rsidP="005558E1">
            <w:pPr>
              <w:rPr>
                <w:color w:val="000000"/>
                <w:szCs w:val="20"/>
              </w:rPr>
            </w:pPr>
            <w:r w:rsidRPr="005558E1">
              <w:rPr>
                <w:color w:val="000000"/>
                <w:szCs w:val="20"/>
              </w:rPr>
              <w:t>Equipment</w:t>
            </w:r>
          </w:p>
        </w:tc>
        <w:tc>
          <w:tcPr>
            <w:tcW w:w="3501" w:type="dxa"/>
            <w:hideMark/>
          </w:tcPr>
          <w:p w14:paraId="74C43798" w14:textId="77777777" w:rsidR="005558E1" w:rsidRPr="005558E1" w:rsidRDefault="005558E1" w:rsidP="005558E1">
            <w:pPr>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48-port 10Gps Ethernet Switches (10G-BASE-LR/SR)</w:t>
            </w:r>
          </w:p>
        </w:tc>
        <w:tc>
          <w:tcPr>
            <w:tcW w:w="1000" w:type="dxa"/>
            <w:noWrap/>
            <w:hideMark/>
          </w:tcPr>
          <w:p w14:paraId="2695A666" w14:textId="77777777" w:rsidR="005558E1" w:rsidRPr="005558E1" w:rsidRDefault="005558E1"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5</w:t>
            </w:r>
          </w:p>
        </w:tc>
        <w:tc>
          <w:tcPr>
            <w:tcW w:w="1140" w:type="dxa"/>
            <w:noWrap/>
            <w:hideMark/>
          </w:tcPr>
          <w:p w14:paraId="561D6B59" w14:textId="77777777" w:rsidR="005558E1" w:rsidRPr="005558E1" w:rsidRDefault="005558E1"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25,000.00</w:t>
            </w:r>
          </w:p>
        </w:tc>
        <w:tc>
          <w:tcPr>
            <w:tcW w:w="1234" w:type="dxa"/>
            <w:noWrap/>
            <w:hideMark/>
          </w:tcPr>
          <w:p w14:paraId="41AC1C6F" w14:textId="77777777" w:rsidR="005558E1" w:rsidRPr="005558E1" w:rsidRDefault="005558E1"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125,000.00</w:t>
            </w:r>
          </w:p>
        </w:tc>
        <w:tc>
          <w:tcPr>
            <w:tcW w:w="1245" w:type="dxa"/>
            <w:hideMark/>
          </w:tcPr>
          <w:p w14:paraId="02CBA5C5" w14:textId="77777777" w:rsidR="005558E1" w:rsidRPr="005558E1" w:rsidRDefault="005558E1" w:rsidP="005558E1">
            <w:pPr>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 </w:t>
            </w:r>
          </w:p>
        </w:tc>
      </w:tr>
      <w:tr w:rsidR="005558E1" w:rsidRPr="005558E1" w14:paraId="59A27995" w14:textId="77777777" w:rsidTr="00A46F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636B5B5A" w14:textId="77777777" w:rsidR="005558E1" w:rsidRPr="005558E1" w:rsidRDefault="005558E1" w:rsidP="005558E1">
            <w:pPr>
              <w:rPr>
                <w:color w:val="000000"/>
                <w:szCs w:val="20"/>
              </w:rPr>
            </w:pPr>
            <w:r w:rsidRPr="005558E1">
              <w:rPr>
                <w:color w:val="000000"/>
                <w:szCs w:val="20"/>
              </w:rPr>
              <w:t> </w:t>
            </w:r>
          </w:p>
        </w:tc>
        <w:tc>
          <w:tcPr>
            <w:tcW w:w="3501" w:type="dxa"/>
            <w:hideMark/>
          </w:tcPr>
          <w:p w14:paraId="289C64F0"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proofErr w:type="spellStart"/>
            <w:r w:rsidRPr="005558E1">
              <w:rPr>
                <w:color w:val="000000"/>
                <w:szCs w:val="20"/>
              </w:rPr>
              <w:t>Transcievers</w:t>
            </w:r>
            <w:proofErr w:type="spellEnd"/>
            <w:r w:rsidRPr="005558E1">
              <w:rPr>
                <w:color w:val="000000"/>
                <w:szCs w:val="20"/>
              </w:rPr>
              <w:t xml:space="preserve"> (uplink and server ports)</w:t>
            </w:r>
          </w:p>
        </w:tc>
        <w:tc>
          <w:tcPr>
            <w:tcW w:w="1000" w:type="dxa"/>
            <w:noWrap/>
            <w:hideMark/>
          </w:tcPr>
          <w:p w14:paraId="12D90B7B" w14:textId="77777777" w:rsidR="005558E1" w:rsidRPr="005558E1" w:rsidRDefault="005558E1" w:rsidP="005558E1">
            <w:pPr>
              <w:jc w:val="right"/>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40</w:t>
            </w:r>
          </w:p>
        </w:tc>
        <w:tc>
          <w:tcPr>
            <w:tcW w:w="1140" w:type="dxa"/>
            <w:noWrap/>
            <w:hideMark/>
          </w:tcPr>
          <w:p w14:paraId="2B9A1B51" w14:textId="77777777" w:rsidR="005558E1" w:rsidRPr="005558E1" w:rsidRDefault="005558E1" w:rsidP="005558E1">
            <w:pPr>
              <w:jc w:val="right"/>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1,000.00</w:t>
            </w:r>
          </w:p>
        </w:tc>
        <w:tc>
          <w:tcPr>
            <w:tcW w:w="1234" w:type="dxa"/>
            <w:noWrap/>
            <w:hideMark/>
          </w:tcPr>
          <w:p w14:paraId="5216BDA7" w14:textId="77777777" w:rsidR="005558E1" w:rsidRPr="005558E1" w:rsidRDefault="005558E1" w:rsidP="005558E1">
            <w:pPr>
              <w:jc w:val="right"/>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40,000.00</w:t>
            </w:r>
          </w:p>
        </w:tc>
        <w:tc>
          <w:tcPr>
            <w:tcW w:w="1245" w:type="dxa"/>
            <w:hideMark/>
          </w:tcPr>
          <w:p w14:paraId="4D769798"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 </w:t>
            </w:r>
          </w:p>
        </w:tc>
      </w:tr>
      <w:tr w:rsidR="005558E1" w:rsidRPr="005558E1" w14:paraId="1A07B12D" w14:textId="77777777" w:rsidTr="00A46FBF">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491F4163" w14:textId="77777777" w:rsidR="005558E1" w:rsidRPr="005558E1" w:rsidRDefault="005558E1" w:rsidP="005558E1">
            <w:pPr>
              <w:rPr>
                <w:color w:val="000000"/>
                <w:szCs w:val="20"/>
              </w:rPr>
            </w:pPr>
            <w:r w:rsidRPr="005558E1">
              <w:rPr>
                <w:color w:val="000000"/>
                <w:szCs w:val="20"/>
              </w:rPr>
              <w:t> </w:t>
            </w:r>
          </w:p>
        </w:tc>
        <w:tc>
          <w:tcPr>
            <w:tcW w:w="3501" w:type="dxa"/>
            <w:hideMark/>
          </w:tcPr>
          <w:p w14:paraId="4F1C6142" w14:textId="77777777" w:rsidR="005558E1" w:rsidRPr="005558E1" w:rsidRDefault="005558E1" w:rsidP="005558E1">
            <w:pPr>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 xml:space="preserve">Network Interface Cards (10G-BASE-LR/SR) with </w:t>
            </w:r>
            <w:proofErr w:type="spellStart"/>
            <w:r w:rsidRPr="005558E1">
              <w:rPr>
                <w:color w:val="000000"/>
                <w:szCs w:val="20"/>
              </w:rPr>
              <w:t>transcievers</w:t>
            </w:r>
            <w:proofErr w:type="spellEnd"/>
          </w:p>
        </w:tc>
        <w:tc>
          <w:tcPr>
            <w:tcW w:w="1000" w:type="dxa"/>
            <w:noWrap/>
            <w:hideMark/>
          </w:tcPr>
          <w:p w14:paraId="0ECC0935" w14:textId="77777777" w:rsidR="005558E1" w:rsidRPr="005558E1" w:rsidRDefault="005558E1"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10</w:t>
            </w:r>
          </w:p>
        </w:tc>
        <w:tc>
          <w:tcPr>
            <w:tcW w:w="1140" w:type="dxa"/>
            <w:noWrap/>
            <w:hideMark/>
          </w:tcPr>
          <w:p w14:paraId="4489DCC4" w14:textId="77777777" w:rsidR="005558E1" w:rsidRPr="005558E1" w:rsidRDefault="005558E1"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450.00</w:t>
            </w:r>
          </w:p>
        </w:tc>
        <w:tc>
          <w:tcPr>
            <w:tcW w:w="1234" w:type="dxa"/>
            <w:noWrap/>
            <w:hideMark/>
          </w:tcPr>
          <w:p w14:paraId="77E732FA" w14:textId="77777777" w:rsidR="005558E1" w:rsidRPr="005558E1" w:rsidRDefault="005558E1"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4,500.00</w:t>
            </w:r>
          </w:p>
        </w:tc>
        <w:tc>
          <w:tcPr>
            <w:tcW w:w="1245" w:type="dxa"/>
            <w:hideMark/>
          </w:tcPr>
          <w:p w14:paraId="7B9B909C" w14:textId="77777777" w:rsidR="005558E1" w:rsidRPr="005558E1" w:rsidRDefault="005558E1" w:rsidP="005558E1">
            <w:pPr>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 </w:t>
            </w:r>
          </w:p>
        </w:tc>
      </w:tr>
      <w:tr w:rsidR="005558E1" w:rsidRPr="005558E1" w14:paraId="537A43A0" w14:textId="77777777" w:rsidTr="00A46F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3424D29B" w14:textId="77777777" w:rsidR="005558E1" w:rsidRPr="005558E1" w:rsidRDefault="005558E1" w:rsidP="005558E1">
            <w:pPr>
              <w:rPr>
                <w:color w:val="000000"/>
                <w:szCs w:val="20"/>
              </w:rPr>
            </w:pPr>
            <w:r w:rsidRPr="005558E1">
              <w:rPr>
                <w:color w:val="000000"/>
                <w:szCs w:val="20"/>
              </w:rPr>
              <w:t> </w:t>
            </w:r>
          </w:p>
        </w:tc>
        <w:tc>
          <w:tcPr>
            <w:tcW w:w="3501" w:type="dxa"/>
            <w:hideMark/>
          </w:tcPr>
          <w:p w14:paraId="03B05430"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proofErr w:type="spellStart"/>
            <w:r w:rsidRPr="005558E1">
              <w:rPr>
                <w:color w:val="000000"/>
                <w:szCs w:val="20"/>
              </w:rPr>
              <w:t>Transciecers</w:t>
            </w:r>
            <w:proofErr w:type="spellEnd"/>
            <w:r w:rsidRPr="005558E1">
              <w:rPr>
                <w:color w:val="000000"/>
                <w:szCs w:val="20"/>
              </w:rPr>
              <w:t xml:space="preserve"> for NICs</w:t>
            </w:r>
          </w:p>
        </w:tc>
        <w:tc>
          <w:tcPr>
            <w:tcW w:w="1000" w:type="dxa"/>
            <w:noWrap/>
            <w:hideMark/>
          </w:tcPr>
          <w:p w14:paraId="1E9A5AAE" w14:textId="77777777" w:rsidR="005558E1" w:rsidRPr="005558E1" w:rsidRDefault="005558E1" w:rsidP="005558E1">
            <w:pPr>
              <w:jc w:val="right"/>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10</w:t>
            </w:r>
          </w:p>
        </w:tc>
        <w:tc>
          <w:tcPr>
            <w:tcW w:w="1140" w:type="dxa"/>
            <w:noWrap/>
            <w:hideMark/>
          </w:tcPr>
          <w:p w14:paraId="22958341" w14:textId="77777777" w:rsidR="005558E1" w:rsidRPr="005558E1" w:rsidRDefault="005558E1" w:rsidP="005558E1">
            <w:pPr>
              <w:jc w:val="right"/>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1,000.00</w:t>
            </w:r>
          </w:p>
        </w:tc>
        <w:tc>
          <w:tcPr>
            <w:tcW w:w="1234" w:type="dxa"/>
            <w:noWrap/>
            <w:hideMark/>
          </w:tcPr>
          <w:p w14:paraId="5CD9175F" w14:textId="77777777" w:rsidR="005558E1" w:rsidRPr="005558E1" w:rsidRDefault="005558E1" w:rsidP="005558E1">
            <w:pPr>
              <w:jc w:val="right"/>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10,000.00</w:t>
            </w:r>
          </w:p>
        </w:tc>
        <w:tc>
          <w:tcPr>
            <w:tcW w:w="1245" w:type="dxa"/>
            <w:hideMark/>
          </w:tcPr>
          <w:p w14:paraId="0F6291A6"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 </w:t>
            </w:r>
          </w:p>
        </w:tc>
      </w:tr>
      <w:tr w:rsidR="005558E1" w:rsidRPr="005558E1" w14:paraId="7D48E0F6" w14:textId="77777777" w:rsidTr="00A46F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1481456B" w14:textId="77777777" w:rsidR="005558E1" w:rsidRPr="005558E1" w:rsidRDefault="005558E1" w:rsidP="005558E1">
            <w:pPr>
              <w:rPr>
                <w:color w:val="000000"/>
                <w:szCs w:val="20"/>
              </w:rPr>
            </w:pPr>
            <w:r w:rsidRPr="005558E1">
              <w:rPr>
                <w:color w:val="000000"/>
                <w:szCs w:val="20"/>
              </w:rPr>
              <w:t> </w:t>
            </w:r>
          </w:p>
        </w:tc>
        <w:tc>
          <w:tcPr>
            <w:tcW w:w="3501" w:type="dxa"/>
            <w:hideMark/>
          </w:tcPr>
          <w:p w14:paraId="3E50C9C0" w14:textId="1DF20202" w:rsidR="005558E1" w:rsidRPr="005558E1" w:rsidRDefault="006D09F8" w:rsidP="005558E1">
            <w:pPr>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Research/</w:t>
            </w:r>
            <w:proofErr w:type="spellStart"/>
            <w:r>
              <w:rPr>
                <w:color w:val="000000"/>
                <w:szCs w:val="20"/>
              </w:rPr>
              <w:t>openflow</w:t>
            </w:r>
            <w:proofErr w:type="spellEnd"/>
            <w:r>
              <w:rPr>
                <w:color w:val="000000"/>
                <w:szCs w:val="20"/>
              </w:rPr>
              <w:t xml:space="preserve"> VRF</w:t>
            </w:r>
            <w:r w:rsidR="005558E1" w:rsidRPr="005558E1">
              <w:rPr>
                <w:color w:val="000000"/>
                <w:szCs w:val="20"/>
              </w:rPr>
              <w:t xml:space="preserve"> Appliances</w:t>
            </w:r>
          </w:p>
        </w:tc>
        <w:tc>
          <w:tcPr>
            <w:tcW w:w="1000" w:type="dxa"/>
            <w:noWrap/>
            <w:hideMark/>
          </w:tcPr>
          <w:p w14:paraId="3C58A736" w14:textId="77777777" w:rsidR="005558E1" w:rsidRPr="005558E1" w:rsidRDefault="005558E1"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2</w:t>
            </w:r>
          </w:p>
        </w:tc>
        <w:tc>
          <w:tcPr>
            <w:tcW w:w="1140" w:type="dxa"/>
            <w:noWrap/>
            <w:hideMark/>
          </w:tcPr>
          <w:p w14:paraId="3013A201" w14:textId="77777777" w:rsidR="005558E1" w:rsidRPr="005558E1" w:rsidRDefault="005558E1"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5,000.00</w:t>
            </w:r>
          </w:p>
        </w:tc>
        <w:tc>
          <w:tcPr>
            <w:tcW w:w="1234" w:type="dxa"/>
            <w:noWrap/>
            <w:hideMark/>
          </w:tcPr>
          <w:p w14:paraId="7C3ABC9A" w14:textId="77777777" w:rsidR="005558E1" w:rsidRPr="005558E1" w:rsidRDefault="005558E1"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10,000.00</w:t>
            </w:r>
          </w:p>
        </w:tc>
        <w:tc>
          <w:tcPr>
            <w:tcW w:w="1245" w:type="dxa"/>
            <w:hideMark/>
          </w:tcPr>
          <w:p w14:paraId="746261A5" w14:textId="77777777" w:rsidR="005558E1" w:rsidRPr="005558E1" w:rsidRDefault="005558E1" w:rsidP="005558E1">
            <w:pPr>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 </w:t>
            </w:r>
          </w:p>
        </w:tc>
      </w:tr>
      <w:tr w:rsidR="005558E1" w:rsidRPr="005558E1" w14:paraId="24AFA781" w14:textId="77777777" w:rsidTr="00A46F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6FEB3E77" w14:textId="77777777" w:rsidR="005558E1" w:rsidRPr="005558E1" w:rsidRDefault="005558E1" w:rsidP="005558E1">
            <w:pPr>
              <w:rPr>
                <w:color w:val="000000"/>
                <w:szCs w:val="20"/>
              </w:rPr>
            </w:pPr>
            <w:r w:rsidRPr="005558E1">
              <w:rPr>
                <w:color w:val="000000"/>
                <w:szCs w:val="20"/>
              </w:rPr>
              <w:t> </w:t>
            </w:r>
          </w:p>
        </w:tc>
        <w:tc>
          <w:tcPr>
            <w:tcW w:w="3501" w:type="dxa"/>
            <w:hideMark/>
          </w:tcPr>
          <w:p w14:paraId="2EC85A3C" w14:textId="0C98488B" w:rsidR="005558E1" w:rsidRPr="005558E1" w:rsidRDefault="005558E1" w:rsidP="006D09F8">
            <w:pPr>
              <w:cnfStyle w:val="000000010000" w:firstRow="0" w:lastRow="0" w:firstColumn="0" w:lastColumn="0" w:oddVBand="0" w:evenVBand="0" w:oddHBand="0" w:evenHBand="1" w:firstRowFirstColumn="0" w:firstRowLastColumn="0" w:lastRowFirstColumn="0" w:lastRowLastColumn="0"/>
              <w:rPr>
                <w:color w:val="000000"/>
                <w:szCs w:val="20"/>
              </w:rPr>
            </w:pPr>
            <w:proofErr w:type="spellStart"/>
            <w:r w:rsidRPr="005558E1">
              <w:rPr>
                <w:color w:val="000000"/>
                <w:szCs w:val="20"/>
              </w:rPr>
              <w:t>Transcievers</w:t>
            </w:r>
            <w:proofErr w:type="spellEnd"/>
            <w:r w:rsidRPr="005558E1">
              <w:rPr>
                <w:color w:val="000000"/>
                <w:szCs w:val="20"/>
              </w:rPr>
              <w:t xml:space="preserve"> for </w:t>
            </w:r>
            <w:r w:rsidR="006D09F8">
              <w:rPr>
                <w:color w:val="000000"/>
                <w:szCs w:val="20"/>
              </w:rPr>
              <w:t>research/</w:t>
            </w:r>
            <w:proofErr w:type="spellStart"/>
            <w:r w:rsidR="006D09F8">
              <w:rPr>
                <w:color w:val="000000"/>
                <w:szCs w:val="20"/>
              </w:rPr>
              <w:t>openflow</w:t>
            </w:r>
            <w:proofErr w:type="spellEnd"/>
            <w:r w:rsidR="006D09F8">
              <w:rPr>
                <w:color w:val="000000"/>
                <w:szCs w:val="20"/>
              </w:rPr>
              <w:t xml:space="preserve"> VRF</w:t>
            </w:r>
            <w:r w:rsidRPr="005558E1">
              <w:rPr>
                <w:color w:val="000000"/>
                <w:szCs w:val="20"/>
              </w:rPr>
              <w:t xml:space="preserve"> appliances</w:t>
            </w:r>
          </w:p>
        </w:tc>
        <w:tc>
          <w:tcPr>
            <w:tcW w:w="1000" w:type="dxa"/>
            <w:noWrap/>
            <w:hideMark/>
          </w:tcPr>
          <w:p w14:paraId="573A8524" w14:textId="77777777" w:rsidR="005558E1" w:rsidRPr="005558E1" w:rsidRDefault="005558E1" w:rsidP="005558E1">
            <w:pPr>
              <w:jc w:val="right"/>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4</w:t>
            </w:r>
          </w:p>
        </w:tc>
        <w:tc>
          <w:tcPr>
            <w:tcW w:w="1140" w:type="dxa"/>
            <w:noWrap/>
            <w:hideMark/>
          </w:tcPr>
          <w:p w14:paraId="7B128BA5" w14:textId="77777777" w:rsidR="005558E1" w:rsidRPr="005558E1" w:rsidRDefault="005558E1" w:rsidP="005558E1">
            <w:pPr>
              <w:jc w:val="right"/>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1,000.00</w:t>
            </w:r>
          </w:p>
        </w:tc>
        <w:tc>
          <w:tcPr>
            <w:tcW w:w="1234" w:type="dxa"/>
            <w:noWrap/>
            <w:hideMark/>
          </w:tcPr>
          <w:p w14:paraId="1184236B" w14:textId="77777777" w:rsidR="005558E1" w:rsidRPr="005558E1" w:rsidRDefault="005558E1" w:rsidP="005558E1">
            <w:pPr>
              <w:jc w:val="right"/>
              <w:cnfStyle w:val="000000010000" w:firstRow="0" w:lastRow="0" w:firstColumn="0" w:lastColumn="0" w:oddVBand="0" w:evenVBand="0" w:oddHBand="0" w:evenHBand="1" w:firstRowFirstColumn="0" w:firstRowLastColumn="0" w:lastRowFirstColumn="0" w:lastRowLastColumn="0"/>
              <w:rPr>
                <w:color w:val="000000"/>
                <w:szCs w:val="20"/>
                <w:u w:val="single"/>
              </w:rPr>
            </w:pPr>
            <w:r w:rsidRPr="005558E1">
              <w:rPr>
                <w:color w:val="000000"/>
                <w:szCs w:val="20"/>
                <w:u w:val="single"/>
              </w:rPr>
              <w:t>4,000.00</w:t>
            </w:r>
          </w:p>
        </w:tc>
        <w:tc>
          <w:tcPr>
            <w:tcW w:w="1245" w:type="dxa"/>
            <w:hideMark/>
          </w:tcPr>
          <w:p w14:paraId="154F77B2"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 </w:t>
            </w:r>
          </w:p>
        </w:tc>
      </w:tr>
      <w:tr w:rsidR="000E7B5C" w:rsidRPr="005558E1" w14:paraId="14E35513" w14:textId="77777777" w:rsidTr="00A46F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tcPr>
          <w:p w14:paraId="2D36FD8D" w14:textId="11083E78" w:rsidR="000E7B5C" w:rsidRPr="005558E1" w:rsidRDefault="000E7B5C" w:rsidP="005558E1">
            <w:pPr>
              <w:rPr>
                <w:color w:val="000000"/>
                <w:szCs w:val="20"/>
              </w:rPr>
            </w:pPr>
            <w:r>
              <w:rPr>
                <w:color w:val="000000"/>
                <w:szCs w:val="20"/>
              </w:rPr>
              <w:lastRenderedPageBreak/>
              <w:t>Total Year One</w:t>
            </w:r>
          </w:p>
        </w:tc>
        <w:tc>
          <w:tcPr>
            <w:tcW w:w="3501" w:type="dxa"/>
          </w:tcPr>
          <w:p w14:paraId="31A9D7D9" w14:textId="77777777" w:rsidR="000E7B5C" w:rsidRPr="005558E1" w:rsidRDefault="000E7B5C" w:rsidP="005558E1">
            <w:pPr>
              <w:cnfStyle w:val="000000100000" w:firstRow="0" w:lastRow="0" w:firstColumn="0" w:lastColumn="0" w:oddVBand="0" w:evenVBand="0" w:oddHBand="1" w:evenHBand="0" w:firstRowFirstColumn="0" w:firstRowLastColumn="0" w:lastRowFirstColumn="0" w:lastRowLastColumn="0"/>
              <w:rPr>
                <w:color w:val="000000"/>
                <w:szCs w:val="20"/>
              </w:rPr>
            </w:pPr>
          </w:p>
        </w:tc>
        <w:tc>
          <w:tcPr>
            <w:tcW w:w="1000" w:type="dxa"/>
            <w:noWrap/>
          </w:tcPr>
          <w:p w14:paraId="5BCA8090" w14:textId="77777777" w:rsidR="000E7B5C" w:rsidRPr="005558E1" w:rsidRDefault="000E7B5C"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p>
        </w:tc>
        <w:tc>
          <w:tcPr>
            <w:tcW w:w="1140" w:type="dxa"/>
            <w:noWrap/>
          </w:tcPr>
          <w:p w14:paraId="02B30143" w14:textId="77777777" w:rsidR="000E7B5C" w:rsidRPr="005558E1" w:rsidRDefault="000E7B5C"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p>
        </w:tc>
        <w:tc>
          <w:tcPr>
            <w:tcW w:w="1234" w:type="dxa"/>
            <w:noWrap/>
          </w:tcPr>
          <w:p w14:paraId="28441EDD" w14:textId="3C0BBE17" w:rsidR="000E7B5C" w:rsidRPr="000E7B5C" w:rsidRDefault="000E7B5C" w:rsidP="005558E1">
            <w:pPr>
              <w:jc w:val="right"/>
              <w:cnfStyle w:val="000000100000" w:firstRow="0" w:lastRow="0" w:firstColumn="0" w:lastColumn="0" w:oddVBand="0" w:evenVBand="0" w:oddHBand="1" w:evenHBand="0" w:firstRowFirstColumn="0" w:firstRowLastColumn="0" w:lastRowFirstColumn="0" w:lastRowLastColumn="0"/>
              <w:rPr>
                <w:b/>
                <w:color w:val="000000"/>
                <w:szCs w:val="20"/>
              </w:rPr>
            </w:pPr>
            <w:r>
              <w:rPr>
                <w:b/>
                <w:color w:val="000000"/>
                <w:szCs w:val="20"/>
              </w:rPr>
              <w:t>$</w:t>
            </w:r>
            <w:r w:rsidRPr="000E7B5C">
              <w:rPr>
                <w:b/>
                <w:color w:val="000000"/>
                <w:szCs w:val="20"/>
              </w:rPr>
              <w:t>193,500.00</w:t>
            </w:r>
          </w:p>
        </w:tc>
        <w:tc>
          <w:tcPr>
            <w:tcW w:w="1245" w:type="dxa"/>
          </w:tcPr>
          <w:p w14:paraId="5860CE9D" w14:textId="77777777" w:rsidR="000E7B5C" w:rsidRPr="005558E1" w:rsidRDefault="000E7B5C" w:rsidP="005558E1">
            <w:pPr>
              <w:cnfStyle w:val="000000100000" w:firstRow="0" w:lastRow="0" w:firstColumn="0" w:lastColumn="0" w:oddVBand="0" w:evenVBand="0" w:oddHBand="1" w:evenHBand="0" w:firstRowFirstColumn="0" w:firstRowLastColumn="0" w:lastRowFirstColumn="0" w:lastRowLastColumn="0"/>
              <w:rPr>
                <w:color w:val="000000"/>
                <w:szCs w:val="20"/>
              </w:rPr>
            </w:pPr>
          </w:p>
        </w:tc>
      </w:tr>
    </w:tbl>
    <w:p w14:paraId="4776D958" w14:textId="77777777" w:rsidR="000E7B5C" w:rsidRDefault="000E7B5C"/>
    <w:tbl>
      <w:tblPr>
        <w:tblStyle w:val="MediumShading1-Accent1"/>
        <w:tblW w:w="9600" w:type="dxa"/>
        <w:tblLook w:val="04A0" w:firstRow="1" w:lastRow="0" w:firstColumn="1" w:lastColumn="0" w:noHBand="0" w:noVBand="1"/>
      </w:tblPr>
      <w:tblGrid>
        <w:gridCol w:w="1480"/>
        <w:gridCol w:w="3506"/>
        <w:gridCol w:w="1000"/>
        <w:gridCol w:w="1140"/>
        <w:gridCol w:w="1234"/>
        <w:gridCol w:w="1240"/>
      </w:tblGrid>
      <w:tr w:rsidR="000E7B5C" w:rsidRPr="005558E1" w14:paraId="3643E070" w14:textId="77777777" w:rsidTr="00A0469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5E43F7EC" w14:textId="77777777" w:rsidR="005558E1" w:rsidRPr="005558E1" w:rsidRDefault="005558E1" w:rsidP="005558E1">
            <w:pPr>
              <w:rPr>
                <w:color w:val="000000"/>
                <w:szCs w:val="20"/>
              </w:rPr>
            </w:pPr>
            <w:r w:rsidRPr="005558E1">
              <w:rPr>
                <w:color w:val="000000"/>
                <w:szCs w:val="20"/>
              </w:rPr>
              <w:t>Year Two</w:t>
            </w:r>
          </w:p>
        </w:tc>
        <w:tc>
          <w:tcPr>
            <w:tcW w:w="3588" w:type="dxa"/>
            <w:hideMark/>
          </w:tcPr>
          <w:p w14:paraId="708B0B72" w14:textId="77777777" w:rsidR="005558E1" w:rsidRPr="005558E1" w:rsidRDefault="005558E1" w:rsidP="005558E1">
            <w:pPr>
              <w:cnfStyle w:val="100000000000" w:firstRow="1" w:lastRow="0" w:firstColumn="0" w:lastColumn="0" w:oddVBand="0" w:evenVBand="0" w:oddHBand="0" w:evenHBand="0" w:firstRowFirstColumn="0" w:firstRowLastColumn="0" w:lastRowFirstColumn="0" w:lastRowLastColumn="0"/>
              <w:rPr>
                <w:color w:val="000000"/>
                <w:szCs w:val="20"/>
              </w:rPr>
            </w:pPr>
            <w:r w:rsidRPr="005558E1">
              <w:rPr>
                <w:color w:val="000000"/>
                <w:szCs w:val="20"/>
              </w:rPr>
              <w:t> </w:t>
            </w:r>
          </w:p>
        </w:tc>
        <w:tc>
          <w:tcPr>
            <w:tcW w:w="1000" w:type="dxa"/>
            <w:noWrap/>
            <w:hideMark/>
          </w:tcPr>
          <w:p w14:paraId="21431824" w14:textId="77777777" w:rsidR="005558E1" w:rsidRPr="005558E1" w:rsidRDefault="005558E1" w:rsidP="005558E1">
            <w:pPr>
              <w:cnfStyle w:val="100000000000" w:firstRow="1" w:lastRow="0" w:firstColumn="0" w:lastColumn="0" w:oddVBand="0" w:evenVBand="0" w:oddHBand="0" w:evenHBand="0" w:firstRowFirstColumn="0" w:firstRowLastColumn="0" w:lastRowFirstColumn="0" w:lastRowLastColumn="0"/>
              <w:rPr>
                <w:color w:val="000000"/>
                <w:szCs w:val="20"/>
              </w:rPr>
            </w:pPr>
            <w:r w:rsidRPr="005558E1">
              <w:rPr>
                <w:color w:val="000000"/>
                <w:szCs w:val="20"/>
              </w:rPr>
              <w:t> </w:t>
            </w:r>
          </w:p>
        </w:tc>
        <w:tc>
          <w:tcPr>
            <w:tcW w:w="1140" w:type="dxa"/>
            <w:noWrap/>
            <w:hideMark/>
          </w:tcPr>
          <w:p w14:paraId="2601DD25" w14:textId="77777777" w:rsidR="005558E1" w:rsidRPr="005558E1" w:rsidRDefault="005558E1" w:rsidP="005558E1">
            <w:pPr>
              <w:cnfStyle w:val="100000000000" w:firstRow="1" w:lastRow="0" w:firstColumn="0" w:lastColumn="0" w:oddVBand="0" w:evenVBand="0" w:oddHBand="0" w:evenHBand="0" w:firstRowFirstColumn="0" w:firstRowLastColumn="0" w:lastRowFirstColumn="0" w:lastRowLastColumn="0"/>
              <w:rPr>
                <w:color w:val="000000"/>
                <w:szCs w:val="20"/>
              </w:rPr>
            </w:pPr>
            <w:r w:rsidRPr="005558E1">
              <w:rPr>
                <w:color w:val="000000"/>
                <w:szCs w:val="20"/>
              </w:rPr>
              <w:t> </w:t>
            </w:r>
          </w:p>
        </w:tc>
        <w:tc>
          <w:tcPr>
            <w:tcW w:w="1132" w:type="dxa"/>
            <w:noWrap/>
            <w:hideMark/>
          </w:tcPr>
          <w:p w14:paraId="308D9388" w14:textId="77777777" w:rsidR="005558E1" w:rsidRPr="005558E1" w:rsidRDefault="005558E1" w:rsidP="005558E1">
            <w:pPr>
              <w:cnfStyle w:val="100000000000" w:firstRow="1" w:lastRow="0" w:firstColumn="0" w:lastColumn="0" w:oddVBand="0" w:evenVBand="0" w:oddHBand="0" w:evenHBand="0" w:firstRowFirstColumn="0" w:firstRowLastColumn="0" w:lastRowFirstColumn="0" w:lastRowLastColumn="0"/>
              <w:rPr>
                <w:color w:val="000000"/>
                <w:szCs w:val="20"/>
              </w:rPr>
            </w:pPr>
            <w:r w:rsidRPr="005558E1">
              <w:rPr>
                <w:color w:val="000000"/>
                <w:szCs w:val="20"/>
              </w:rPr>
              <w:t> </w:t>
            </w:r>
          </w:p>
        </w:tc>
        <w:tc>
          <w:tcPr>
            <w:tcW w:w="1260" w:type="dxa"/>
            <w:hideMark/>
          </w:tcPr>
          <w:p w14:paraId="42619FFF" w14:textId="77777777" w:rsidR="005558E1" w:rsidRPr="005558E1" w:rsidRDefault="005558E1" w:rsidP="005558E1">
            <w:pPr>
              <w:cnfStyle w:val="100000000000" w:firstRow="1" w:lastRow="0" w:firstColumn="0" w:lastColumn="0" w:oddVBand="0" w:evenVBand="0" w:oddHBand="0" w:evenHBand="0" w:firstRowFirstColumn="0" w:firstRowLastColumn="0" w:lastRowFirstColumn="0" w:lastRowLastColumn="0"/>
              <w:rPr>
                <w:color w:val="000000"/>
                <w:szCs w:val="20"/>
              </w:rPr>
            </w:pPr>
            <w:r w:rsidRPr="005558E1">
              <w:rPr>
                <w:color w:val="000000"/>
                <w:szCs w:val="20"/>
              </w:rPr>
              <w:t> </w:t>
            </w:r>
          </w:p>
        </w:tc>
      </w:tr>
      <w:tr w:rsidR="000E7B5C" w:rsidRPr="005558E1" w14:paraId="3C5B081C" w14:textId="77777777" w:rsidTr="00A046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65060A9E" w14:textId="77777777" w:rsidR="005558E1" w:rsidRPr="005558E1" w:rsidRDefault="005558E1" w:rsidP="005558E1">
            <w:pPr>
              <w:rPr>
                <w:color w:val="000000"/>
                <w:szCs w:val="20"/>
              </w:rPr>
            </w:pPr>
            <w:r w:rsidRPr="005558E1">
              <w:rPr>
                <w:color w:val="000000"/>
                <w:szCs w:val="20"/>
              </w:rPr>
              <w:t> </w:t>
            </w:r>
          </w:p>
        </w:tc>
        <w:tc>
          <w:tcPr>
            <w:tcW w:w="3588" w:type="dxa"/>
            <w:hideMark/>
          </w:tcPr>
          <w:p w14:paraId="33D238C0" w14:textId="77777777" w:rsidR="005558E1" w:rsidRPr="005558E1" w:rsidRDefault="005558E1" w:rsidP="005558E1">
            <w:pPr>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 </w:t>
            </w:r>
          </w:p>
        </w:tc>
        <w:tc>
          <w:tcPr>
            <w:tcW w:w="1000" w:type="dxa"/>
            <w:noWrap/>
            <w:hideMark/>
          </w:tcPr>
          <w:p w14:paraId="22D7E010" w14:textId="77777777" w:rsidR="005558E1" w:rsidRPr="005558E1" w:rsidRDefault="005558E1" w:rsidP="005558E1">
            <w:pPr>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 </w:t>
            </w:r>
          </w:p>
        </w:tc>
        <w:tc>
          <w:tcPr>
            <w:tcW w:w="1140" w:type="dxa"/>
            <w:noWrap/>
            <w:hideMark/>
          </w:tcPr>
          <w:p w14:paraId="4EBB9623" w14:textId="77777777" w:rsidR="005558E1" w:rsidRPr="005558E1" w:rsidRDefault="005558E1" w:rsidP="005558E1">
            <w:pPr>
              <w:jc w:val="center"/>
              <w:cnfStyle w:val="000000100000" w:firstRow="0" w:lastRow="0" w:firstColumn="0" w:lastColumn="0" w:oddVBand="0" w:evenVBand="0" w:oddHBand="1" w:evenHBand="0" w:firstRowFirstColumn="0" w:firstRowLastColumn="0" w:lastRowFirstColumn="0" w:lastRowLastColumn="0"/>
              <w:rPr>
                <w:b/>
                <w:bCs/>
                <w:color w:val="000000"/>
                <w:szCs w:val="20"/>
              </w:rPr>
            </w:pPr>
            <w:r w:rsidRPr="005558E1">
              <w:rPr>
                <w:b/>
                <w:bCs/>
                <w:color w:val="000000"/>
                <w:szCs w:val="20"/>
              </w:rPr>
              <w:t xml:space="preserve">Unit Cost </w:t>
            </w:r>
          </w:p>
        </w:tc>
        <w:tc>
          <w:tcPr>
            <w:tcW w:w="1132" w:type="dxa"/>
            <w:noWrap/>
            <w:hideMark/>
          </w:tcPr>
          <w:p w14:paraId="0D7B8BC5" w14:textId="77777777" w:rsidR="005558E1" w:rsidRPr="005558E1" w:rsidRDefault="005558E1" w:rsidP="005558E1">
            <w:pPr>
              <w:jc w:val="center"/>
              <w:cnfStyle w:val="000000100000" w:firstRow="0" w:lastRow="0" w:firstColumn="0" w:lastColumn="0" w:oddVBand="0" w:evenVBand="0" w:oddHBand="1" w:evenHBand="0" w:firstRowFirstColumn="0" w:firstRowLastColumn="0" w:lastRowFirstColumn="0" w:lastRowLastColumn="0"/>
              <w:rPr>
                <w:b/>
                <w:bCs/>
                <w:color w:val="000000"/>
                <w:szCs w:val="20"/>
              </w:rPr>
            </w:pPr>
            <w:r w:rsidRPr="005558E1">
              <w:rPr>
                <w:b/>
                <w:bCs/>
                <w:color w:val="000000"/>
                <w:szCs w:val="20"/>
              </w:rPr>
              <w:t>Total</w:t>
            </w:r>
          </w:p>
        </w:tc>
        <w:tc>
          <w:tcPr>
            <w:tcW w:w="1260" w:type="dxa"/>
            <w:hideMark/>
          </w:tcPr>
          <w:p w14:paraId="57ADA9E1" w14:textId="77777777" w:rsidR="005558E1" w:rsidRPr="005558E1" w:rsidRDefault="005558E1" w:rsidP="005558E1">
            <w:pPr>
              <w:jc w:val="center"/>
              <w:cnfStyle w:val="000000100000" w:firstRow="0" w:lastRow="0" w:firstColumn="0" w:lastColumn="0" w:oddVBand="0" w:evenVBand="0" w:oddHBand="1" w:evenHBand="0" w:firstRowFirstColumn="0" w:firstRowLastColumn="0" w:lastRowFirstColumn="0" w:lastRowLastColumn="0"/>
              <w:rPr>
                <w:b/>
                <w:bCs/>
                <w:color w:val="000000"/>
                <w:szCs w:val="20"/>
              </w:rPr>
            </w:pPr>
            <w:r w:rsidRPr="005558E1">
              <w:rPr>
                <w:b/>
                <w:bCs/>
                <w:color w:val="000000"/>
                <w:szCs w:val="20"/>
              </w:rPr>
              <w:t>Notes</w:t>
            </w:r>
          </w:p>
        </w:tc>
      </w:tr>
      <w:tr w:rsidR="000E7B5C" w:rsidRPr="005558E1" w14:paraId="79D2238D" w14:textId="77777777" w:rsidTr="00A0469E">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0B52FF2E" w14:textId="77777777" w:rsidR="005558E1" w:rsidRPr="005558E1" w:rsidRDefault="005558E1" w:rsidP="005558E1">
            <w:pPr>
              <w:rPr>
                <w:color w:val="000000"/>
                <w:szCs w:val="20"/>
              </w:rPr>
            </w:pPr>
            <w:r w:rsidRPr="005558E1">
              <w:rPr>
                <w:color w:val="000000"/>
                <w:szCs w:val="20"/>
              </w:rPr>
              <w:t>Personnel</w:t>
            </w:r>
          </w:p>
        </w:tc>
        <w:tc>
          <w:tcPr>
            <w:tcW w:w="3588" w:type="dxa"/>
            <w:hideMark/>
          </w:tcPr>
          <w:p w14:paraId="0A14357F"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Senior IT Analyst</w:t>
            </w:r>
          </w:p>
        </w:tc>
        <w:tc>
          <w:tcPr>
            <w:tcW w:w="1000" w:type="dxa"/>
            <w:noWrap/>
            <w:hideMark/>
          </w:tcPr>
          <w:p w14:paraId="4454FBF0" w14:textId="77777777" w:rsidR="005558E1" w:rsidRPr="005558E1" w:rsidRDefault="005558E1" w:rsidP="005558E1">
            <w:pPr>
              <w:jc w:val="cente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25% FTE</w:t>
            </w:r>
          </w:p>
        </w:tc>
        <w:tc>
          <w:tcPr>
            <w:tcW w:w="1140" w:type="dxa"/>
            <w:noWrap/>
            <w:hideMark/>
          </w:tcPr>
          <w:p w14:paraId="0B5205E0"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 </w:t>
            </w:r>
          </w:p>
        </w:tc>
        <w:tc>
          <w:tcPr>
            <w:tcW w:w="1132" w:type="dxa"/>
            <w:noWrap/>
            <w:hideMark/>
          </w:tcPr>
          <w:p w14:paraId="64B81420"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 </w:t>
            </w:r>
          </w:p>
        </w:tc>
        <w:tc>
          <w:tcPr>
            <w:tcW w:w="1260" w:type="dxa"/>
            <w:hideMark/>
          </w:tcPr>
          <w:p w14:paraId="04E900D8"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Staffing costs are TBD</w:t>
            </w:r>
          </w:p>
        </w:tc>
      </w:tr>
      <w:tr w:rsidR="000E7B5C" w:rsidRPr="005558E1" w14:paraId="04C5BDFD" w14:textId="77777777" w:rsidTr="00A046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0DAAC433" w14:textId="77777777" w:rsidR="005558E1" w:rsidRPr="005558E1" w:rsidRDefault="005558E1" w:rsidP="005558E1">
            <w:pPr>
              <w:rPr>
                <w:color w:val="000000"/>
                <w:szCs w:val="20"/>
              </w:rPr>
            </w:pPr>
            <w:r w:rsidRPr="005558E1">
              <w:rPr>
                <w:color w:val="000000"/>
                <w:szCs w:val="20"/>
              </w:rPr>
              <w:t>Equipment</w:t>
            </w:r>
          </w:p>
        </w:tc>
        <w:tc>
          <w:tcPr>
            <w:tcW w:w="3588" w:type="dxa"/>
            <w:hideMark/>
          </w:tcPr>
          <w:p w14:paraId="6B358243" w14:textId="77777777" w:rsidR="005558E1" w:rsidRPr="005558E1" w:rsidRDefault="005558E1" w:rsidP="005558E1">
            <w:pPr>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48-port 10Gps Ethernet Switches (10G-BASE-LR/SR)</w:t>
            </w:r>
          </w:p>
        </w:tc>
        <w:tc>
          <w:tcPr>
            <w:tcW w:w="1000" w:type="dxa"/>
            <w:noWrap/>
            <w:hideMark/>
          </w:tcPr>
          <w:p w14:paraId="7ED324D8" w14:textId="77777777" w:rsidR="005558E1" w:rsidRPr="005558E1" w:rsidRDefault="005558E1"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5</w:t>
            </w:r>
          </w:p>
        </w:tc>
        <w:tc>
          <w:tcPr>
            <w:tcW w:w="1140" w:type="dxa"/>
            <w:noWrap/>
            <w:hideMark/>
          </w:tcPr>
          <w:p w14:paraId="053970E0" w14:textId="77777777" w:rsidR="005558E1" w:rsidRPr="005558E1" w:rsidRDefault="005558E1"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25,000.00</w:t>
            </w:r>
          </w:p>
        </w:tc>
        <w:tc>
          <w:tcPr>
            <w:tcW w:w="1132" w:type="dxa"/>
            <w:noWrap/>
            <w:hideMark/>
          </w:tcPr>
          <w:p w14:paraId="07AC0557" w14:textId="77777777" w:rsidR="005558E1" w:rsidRPr="005558E1" w:rsidRDefault="005558E1"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125,000.00</w:t>
            </w:r>
          </w:p>
        </w:tc>
        <w:tc>
          <w:tcPr>
            <w:tcW w:w="1260" w:type="dxa"/>
            <w:hideMark/>
          </w:tcPr>
          <w:p w14:paraId="6D55846A" w14:textId="77777777" w:rsidR="005558E1" w:rsidRPr="005558E1" w:rsidRDefault="005558E1" w:rsidP="005558E1">
            <w:pPr>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 </w:t>
            </w:r>
          </w:p>
        </w:tc>
      </w:tr>
      <w:tr w:rsidR="000E7B5C" w:rsidRPr="005558E1" w14:paraId="054CCBDF" w14:textId="77777777" w:rsidTr="00A0469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3116408B" w14:textId="77777777" w:rsidR="005558E1" w:rsidRPr="005558E1" w:rsidRDefault="005558E1" w:rsidP="005558E1">
            <w:pPr>
              <w:rPr>
                <w:color w:val="000000"/>
                <w:szCs w:val="20"/>
              </w:rPr>
            </w:pPr>
            <w:r w:rsidRPr="005558E1">
              <w:rPr>
                <w:color w:val="000000"/>
                <w:szCs w:val="20"/>
              </w:rPr>
              <w:t> </w:t>
            </w:r>
          </w:p>
        </w:tc>
        <w:tc>
          <w:tcPr>
            <w:tcW w:w="3588" w:type="dxa"/>
            <w:hideMark/>
          </w:tcPr>
          <w:p w14:paraId="3DB6DFB9" w14:textId="16F6DE6F" w:rsidR="005558E1" w:rsidRPr="005558E1" w:rsidRDefault="00156E43"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Transceivers</w:t>
            </w:r>
            <w:r w:rsidR="005558E1" w:rsidRPr="005558E1">
              <w:rPr>
                <w:color w:val="000000"/>
                <w:szCs w:val="20"/>
              </w:rPr>
              <w:t xml:space="preserve"> (uplink and server ports)</w:t>
            </w:r>
          </w:p>
        </w:tc>
        <w:tc>
          <w:tcPr>
            <w:tcW w:w="1000" w:type="dxa"/>
            <w:noWrap/>
            <w:hideMark/>
          </w:tcPr>
          <w:p w14:paraId="2BB1A422" w14:textId="77777777" w:rsidR="005558E1" w:rsidRPr="005558E1" w:rsidRDefault="005558E1" w:rsidP="005558E1">
            <w:pPr>
              <w:jc w:val="right"/>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10</w:t>
            </w:r>
          </w:p>
        </w:tc>
        <w:tc>
          <w:tcPr>
            <w:tcW w:w="1140" w:type="dxa"/>
            <w:noWrap/>
            <w:hideMark/>
          </w:tcPr>
          <w:p w14:paraId="58F283B7" w14:textId="77777777" w:rsidR="005558E1" w:rsidRPr="005558E1" w:rsidRDefault="005558E1" w:rsidP="005558E1">
            <w:pPr>
              <w:jc w:val="right"/>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1,000.00</w:t>
            </w:r>
          </w:p>
        </w:tc>
        <w:tc>
          <w:tcPr>
            <w:tcW w:w="1132" w:type="dxa"/>
            <w:noWrap/>
            <w:hideMark/>
          </w:tcPr>
          <w:p w14:paraId="6AB3FBBD" w14:textId="77777777" w:rsidR="005558E1" w:rsidRPr="005558E1" w:rsidRDefault="005558E1" w:rsidP="005558E1">
            <w:pPr>
              <w:jc w:val="right"/>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10,000.00</w:t>
            </w:r>
          </w:p>
        </w:tc>
        <w:tc>
          <w:tcPr>
            <w:tcW w:w="1260" w:type="dxa"/>
            <w:hideMark/>
          </w:tcPr>
          <w:p w14:paraId="15CD6FF5"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 </w:t>
            </w:r>
          </w:p>
        </w:tc>
      </w:tr>
      <w:tr w:rsidR="000E7B5C" w:rsidRPr="005558E1" w14:paraId="3A97361A" w14:textId="77777777" w:rsidTr="00A0469E">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6E35D086" w14:textId="77777777" w:rsidR="005558E1" w:rsidRPr="005558E1" w:rsidRDefault="005558E1" w:rsidP="005558E1">
            <w:pPr>
              <w:rPr>
                <w:color w:val="000000"/>
                <w:szCs w:val="20"/>
              </w:rPr>
            </w:pPr>
            <w:r w:rsidRPr="005558E1">
              <w:rPr>
                <w:color w:val="000000"/>
                <w:szCs w:val="20"/>
              </w:rPr>
              <w:t> </w:t>
            </w:r>
          </w:p>
        </w:tc>
        <w:tc>
          <w:tcPr>
            <w:tcW w:w="3588" w:type="dxa"/>
            <w:hideMark/>
          </w:tcPr>
          <w:p w14:paraId="218D8C75" w14:textId="3C6ACACA" w:rsidR="005558E1" w:rsidRPr="005558E1" w:rsidRDefault="005558E1" w:rsidP="005558E1">
            <w:pPr>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 xml:space="preserve">Network Interface Cards (10G-BASE-LR/SR) with </w:t>
            </w:r>
            <w:r w:rsidR="00156E43" w:rsidRPr="005558E1">
              <w:rPr>
                <w:color w:val="000000"/>
                <w:szCs w:val="20"/>
              </w:rPr>
              <w:t>transceivers</w:t>
            </w:r>
          </w:p>
        </w:tc>
        <w:tc>
          <w:tcPr>
            <w:tcW w:w="1000" w:type="dxa"/>
            <w:noWrap/>
            <w:hideMark/>
          </w:tcPr>
          <w:p w14:paraId="4E522E02" w14:textId="77777777" w:rsidR="005558E1" w:rsidRPr="005558E1" w:rsidRDefault="005558E1"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10</w:t>
            </w:r>
          </w:p>
        </w:tc>
        <w:tc>
          <w:tcPr>
            <w:tcW w:w="1140" w:type="dxa"/>
            <w:noWrap/>
            <w:hideMark/>
          </w:tcPr>
          <w:p w14:paraId="41BBE3D5" w14:textId="77777777" w:rsidR="005558E1" w:rsidRPr="005558E1" w:rsidRDefault="005558E1"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450.00</w:t>
            </w:r>
          </w:p>
        </w:tc>
        <w:tc>
          <w:tcPr>
            <w:tcW w:w="1132" w:type="dxa"/>
            <w:noWrap/>
            <w:hideMark/>
          </w:tcPr>
          <w:p w14:paraId="60204BCD" w14:textId="77777777" w:rsidR="005558E1" w:rsidRPr="005558E1" w:rsidRDefault="005558E1"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4,500.00</w:t>
            </w:r>
          </w:p>
        </w:tc>
        <w:tc>
          <w:tcPr>
            <w:tcW w:w="1260" w:type="dxa"/>
            <w:hideMark/>
          </w:tcPr>
          <w:p w14:paraId="5208E71D" w14:textId="77777777" w:rsidR="005558E1" w:rsidRPr="005558E1" w:rsidRDefault="005558E1" w:rsidP="005558E1">
            <w:pPr>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 </w:t>
            </w:r>
          </w:p>
        </w:tc>
      </w:tr>
      <w:tr w:rsidR="000E7B5C" w:rsidRPr="005558E1" w14:paraId="1E545B18" w14:textId="77777777" w:rsidTr="00A0469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560352DE" w14:textId="77777777" w:rsidR="005558E1" w:rsidRPr="005558E1" w:rsidRDefault="005558E1" w:rsidP="005558E1">
            <w:pPr>
              <w:rPr>
                <w:color w:val="000000"/>
                <w:szCs w:val="20"/>
              </w:rPr>
            </w:pPr>
            <w:r w:rsidRPr="005558E1">
              <w:rPr>
                <w:color w:val="000000"/>
                <w:szCs w:val="20"/>
              </w:rPr>
              <w:t> </w:t>
            </w:r>
          </w:p>
        </w:tc>
        <w:tc>
          <w:tcPr>
            <w:tcW w:w="3588" w:type="dxa"/>
            <w:hideMark/>
          </w:tcPr>
          <w:p w14:paraId="588EFD2B" w14:textId="7B789A3A" w:rsidR="005558E1" w:rsidRPr="005558E1" w:rsidRDefault="006D09F8" w:rsidP="005558E1">
            <w:pPr>
              <w:cnfStyle w:val="000000010000" w:firstRow="0" w:lastRow="0" w:firstColumn="0" w:lastColumn="0" w:oddVBand="0" w:evenVBand="0" w:oddHBand="0" w:evenHBand="1" w:firstRowFirstColumn="0" w:firstRowLastColumn="0" w:lastRowFirstColumn="0" w:lastRowLastColumn="0"/>
              <w:rPr>
                <w:color w:val="000000"/>
                <w:szCs w:val="20"/>
              </w:rPr>
            </w:pPr>
            <w:r>
              <w:rPr>
                <w:color w:val="000000"/>
                <w:szCs w:val="20"/>
              </w:rPr>
              <w:t>Research/</w:t>
            </w:r>
            <w:proofErr w:type="spellStart"/>
            <w:r>
              <w:rPr>
                <w:color w:val="000000"/>
                <w:szCs w:val="20"/>
              </w:rPr>
              <w:t>openflow</w:t>
            </w:r>
            <w:proofErr w:type="spellEnd"/>
            <w:r>
              <w:rPr>
                <w:color w:val="000000"/>
                <w:szCs w:val="20"/>
              </w:rPr>
              <w:t xml:space="preserve"> VRF</w:t>
            </w:r>
            <w:r w:rsidR="005558E1" w:rsidRPr="005558E1">
              <w:rPr>
                <w:color w:val="000000"/>
                <w:szCs w:val="20"/>
              </w:rPr>
              <w:t xml:space="preserve"> Appliances</w:t>
            </w:r>
          </w:p>
        </w:tc>
        <w:tc>
          <w:tcPr>
            <w:tcW w:w="1000" w:type="dxa"/>
            <w:noWrap/>
            <w:hideMark/>
          </w:tcPr>
          <w:p w14:paraId="00933164" w14:textId="77777777" w:rsidR="005558E1" w:rsidRPr="005558E1" w:rsidRDefault="005558E1" w:rsidP="005558E1">
            <w:pPr>
              <w:jc w:val="right"/>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4</w:t>
            </w:r>
          </w:p>
        </w:tc>
        <w:tc>
          <w:tcPr>
            <w:tcW w:w="1140" w:type="dxa"/>
            <w:noWrap/>
            <w:hideMark/>
          </w:tcPr>
          <w:p w14:paraId="29DA89D8" w14:textId="77777777" w:rsidR="005558E1" w:rsidRPr="005558E1" w:rsidRDefault="005558E1" w:rsidP="005558E1">
            <w:pPr>
              <w:jc w:val="right"/>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5,000.00</w:t>
            </w:r>
          </w:p>
        </w:tc>
        <w:tc>
          <w:tcPr>
            <w:tcW w:w="1132" w:type="dxa"/>
            <w:noWrap/>
            <w:hideMark/>
          </w:tcPr>
          <w:p w14:paraId="3FE6E602" w14:textId="77777777" w:rsidR="005558E1" w:rsidRPr="005558E1" w:rsidRDefault="005558E1" w:rsidP="005558E1">
            <w:pPr>
              <w:jc w:val="right"/>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20,000.00</w:t>
            </w:r>
          </w:p>
        </w:tc>
        <w:tc>
          <w:tcPr>
            <w:tcW w:w="1260" w:type="dxa"/>
            <w:hideMark/>
          </w:tcPr>
          <w:p w14:paraId="1812A518"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 </w:t>
            </w:r>
          </w:p>
        </w:tc>
      </w:tr>
      <w:tr w:rsidR="000E7B5C" w:rsidRPr="005558E1" w14:paraId="6E2A24D3" w14:textId="77777777" w:rsidTr="00A046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2537653D" w14:textId="77777777" w:rsidR="005558E1" w:rsidRPr="005558E1" w:rsidRDefault="005558E1" w:rsidP="005558E1">
            <w:pPr>
              <w:rPr>
                <w:color w:val="000000"/>
                <w:szCs w:val="20"/>
              </w:rPr>
            </w:pPr>
            <w:r w:rsidRPr="005558E1">
              <w:rPr>
                <w:color w:val="000000"/>
                <w:szCs w:val="20"/>
              </w:rPr>
              <w:t> </w:t>
            </w:r>
          </w:p>
        </w:tc>
        <w:tc>
          <w:tcPr>
            <w:tcW w:w="3588" w:type="dxa"/>
            <w:hideMark/>
          </w:tcPr>
          <w:p w14:paraId="59338D81" w14:textId="5DB3151C" w:rsidR="005558E1" w:rsidRPr="005558E1" w:rsidRDefault="00156E43" w:rsidP="006D09F8">
            <w:pPr>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Transceivers</w:t>
            </w:r>
            <w:r w:rsidR="005558E1" w:rsidRPr="005558E1">
              <w:rPr>
                <w:color w:val="000000"/>
                <w:szCs w:val="20"/>
              </w:rPr>
              <w:t xml:space="preserve"> for </w:t>
            </w:r>
            <w:r w:rsidR="006D09F8">
              <w:rPr>
                <w:color w:val="000000"/>
                <w:szCs w:val="20"/>
              </w:rPr>
              <w:t>research/</w:t>
            </w:r>
            <w:proofErr w:type="spellStart"/>
            <w:r w:rsidR="006D09F8">
              <w:rPr>
                <w:color w:val="000000"/>
                <w:szCs w:val="20"/>
              </w:rPr>
              <w:t>openflow</w:t>
            </w:r>
            <w:proofErr w:type="spellEnd"/>
            <w:r w:rsidR="006D09F8">
              <w:rPr>
                <w:color w:val="000000"/>
                <w:szCs w:val="20"/>
              </w:rPr>
              <w:t xml:space="preserve"> VRF</w:t>
            </w:r>
            <w:r w:rsidR="005558E1" w:rsidRPr="005558E1">
              <w:rPr>
                <w:color w:val="000000"/>
                <w:szCs w:val="20"/>
              </w:rPr>
              <w:t xml:space="preserve"> appliances</w:t>
            </w:r>
          </w:p>
        </w:tc>
        <w:tc>
          <w:tcPr>
            <w:tcW w:w="1000" w:type="dxa"/>
            <w:noWrap/>
            <w:hideMark/>
          </w:tcPr>
          <w:p w14:paraId="29C87E7B" w14:textId="77777777" w:rsidR="005558E1" w:rsidRPr="005558E1" w:rsidRDefault="005558E1"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8</w:t>
            </w:r>
          </w:p>
        </w:tc>
        <w:tc>
          <w:tcPr>
            <w:tcW w:w="1140" w:type="dxa"/>
            <w:noWrap/>
            <w:hideMark/>
          </w:tcPr>
          <w:p w14:paraId="0BA90EC0" w14:textId="77777777" w:rsidR="005558E1" w:rsidRPr="005558E1" w:rsidRDefault="005558E1" w:rsidP="005558E1">
            <w:pPr>
              <w:jc w:val="right"/>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1,000.00</w:t>
            </w:r>
          </w:p>
        </w:tc>
        <w:tc>
          <w:tcPr>
            <w:tcW w:w="1132" w:type="dxa"/>
            <w:noWrap/>
            <w:hideMark/>
          </w:tcPr>
          <w:p w14:paraId="6FA79BF6" w14:textId="77777777" w:rsidR="005558E1" w:rsidRPr="005558E1" w:rsidRDefault="005558E1" w:rsidP="005558E1">
            <w:pPr>
              <w:jc w:val="right"/>
              <w:cnfStyle w:val="000000100000" w:firstRow="0" w:lastRow="0" w:firstColumn="0" w:lastColumn="0" w:oddVBand="0" w:evenVBand="0" w:oddHBand="1" w:evenHBand="0" w:firstRowFirstColumn="0" w:firstRowLastColumn="0" w:lastRowFirstColumn="0" w:lastRowLastColumn="0"/>
              <w:rPr>
                <w:color w:val="000000"/>
                <w:szCs w:val="20"/>
                <w:u w:val="single"/>
              </w:rPr>
            </w:pPr>
            <w:r w:rsidRPr="005558E1">
              <w:rPr>
                <w:color w:val="000000"/>
                <w:szCs w:val="20"/>
                <w:u w:val="single"/>
              </w:rPr>
              <w:t>8,000.00</w:t>
            </w:r>
          </w:p>
        </w:tc>
        <w:tc>
          <w:tcPr>
            <w:tcW w:w="1260" w:type="dxa"/>
            <w:hideMark/>
          </w:tcPr>
          <w:p w14:paraId="0C171FC3" w14:textId="77777777" w:rsidR="005558E1" w:rsidRPr="005558E1" w:rsidRDefault="005558E1" w:rsidP="005558E1">
            <w:pPr>
              <w:cnfStyle w:val="000000100000" w:firstRow="0" w:lastRow="0" w:firstColumn="0" w:lastColumn="0" w:oddVBand="0" w:evenVBand="0" w:oddHBand="1" w:evenHBand="0" w:firstRowFirstColumn="0" w:firstRowLastColumn="0" w:lastRowFirstColumn="0" w:lastRowLastColumn="0"/>
              <w:rPr>
                <w:color w:val="000000"/>
                <w:szCs w:val="20"/>
              </w:rPr>
            </w:pPr>
            <w:r w:rsidRPr="005558E1">
              <w:rPr>
                <w:color w:val="000000"/>
                <w:szCs w:val="20"/>
              </w:rPr>
              <w:t> </w:t>
            </w:r>
          </w:p>
        </w:tc>
      </w:tr>
      <w:tr w:rsidR="000E7B5C" w:rsidRPr="005558E1" w14:paraId="7C034C76" w14:textId="77777777" w:rsidTr="00A0469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61D39A34" w14:textId="77777777" w:rsidR="005558E1" w:rsidRPr="005558E1" w:rsidRDefault="005558E1" w:rsidP="005558E1">
            <w:pPr>
              <w:rPr>
                <w:color w:val="000000"/>
                <w:szCs w:val="20"/>
              </w:rPr>
            </w:pPr>
            <w:r w:rsidRPr="005558E1">
              <w:rPr>
                <w:color w:val="000000"/>
                <w:szCs w:val="20"/>
              </w:rPr>
              <w:t> </w:t>
            </w:r>
          </w:p>
        </w:tc>
        <w:tc>
          <w:tcPr>
            <w:tcW w:w="3588" w:type="dxa"/>
            <w:hideMark/>
          </w:tcPr>
          <w:p w14:paraId="0DCF97EF"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 </w:t>
            </w:r>
          </w:p>
        </w:tc>
        <w:tc>
          <w:tcPr>
            <w:tcW w:w="1000" w:type="dxa"/>
            <w:noWrap/>
            <w:hideMark/>
          </w:tcPr>
          <w:p w14:paraId="70045389"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 </w:t>
            </w:r>
          </w:p>
        </w:tc>
        <w:tc>
          <w:tcPr>
            <w:tcW w:w="1140" w:type="dxa"/>
            <w:noWrap/>
            <w:hideMark/>
          </w:tcPr>
          <w:p w14:paraId="710592F2"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 </w:t>
            </w:r>
          </w:p>
        </w:tc>
        <w:tc>
          <w:tcPr>
            <w:tcW w:w="1132" w:type="dxa"/>
            <w:noWrap/>
            <w:hideMark/>
          </w:tcPr>
          <w:p w14:paraId="7DE34891"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 </w:t>
            </w:r>
          </w:p>
        </w:tc>
        <w:tc>
          <w:tcPr>
            <w:tcW w:w="1260" w:type="dxa"/>
            <w:hideMark/>
          </w:tcPr>
          <w:p w14:paraId="1363F038" w14:textId="77777777" w:rsidR="005558E1" w:rsidRPr="005558E1" w:rsidRDefault="005558E1" w:rsidP="005558E1">
            <w:pPr>
              <w:cnfStyle w:val="000000010000" w:firstRow="0" w:lastRow="0" w:firstColumn="0" w:lastColumn="0" w:oddVBand="0" w:evenVBand="0" w:oddHBand="0" w:evenHBand="1" w:firstRowFirstColumn="0" w:firstRowLastColumn="0" w:lastRowFirstColumn="0" w:lastRowLastColumn="0"/>
              <w:rPr>
                <w:color w:val="000000"/>
                <w:szCs w:val="20"/>
              </w:rPr>
            </w:pPr>
            <w:r w:rsidRPr="005558E1">
              <w:rPr>
                <w:color w:val="000000"/>
                <w:szCs w:val="20"/>
              </w:rPr>
              <w:t> </w:t>
            </w:r>
          </w:p>
        </w:tc>
      </w:tr>
      <w:tr w:rsidR="000E7B5C" w:rsidRPr="005558E1" w14:paraId="422AC0DD" w14:textId="77777777" w:rsidTr="00A046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25994CF2" w14:textId="77777777" w:rsidR="005558E1" w:rsidRPr="005558E1" w:rsidRDefault="005558E1" w:rsidP="005558E1">
            <w:pPr>
              <w:rPr>
                <w:color w:val="000000"/>
                <w:szCs w:val="20"/>
              </w:rPr>
            </w:pPr>
            <w:r w:rsidRPr="005558E1">
              <w:rPr>
                <w:color w:val="000000"/>
                <w:szCs w:val="20"/>
              </w:rPr>
              <w:t>Total Year Two</w:t>
            </w:r>
          </w:p>
        </w:tc>
        <w:tc>
          <w:tcPr>
            <w:tcW w:w="3588" w:type="dxa"/>
            <w:hideMark/>
          </w:tcPr>
          <w:p w14:paraId="05299FFB" w14:textId="77777777" w:rsidR="005558E1" w:rsidRPr="005558E1" w:rsidRDefault="005558E1" w:rsidP="005558E1">
            <w:pPr>
              <w:cnfStyle w:val="000000100000" w:firstRow="0" w:lastRow="0" w:firstColumn="0" w:lastColumn="0" w:oddVBand="0" w:evenVBand="0" w:oddHBand="1" w:evenHBand="0" w:firstRowFirstColumn="0" w:firstRowLastColumn="0" w:lastRowFirstColumn="0" w:lastRowLastColumn="0"/>
              <w:rPr>
                <w:b/>
                <w:bCs/>
                <w:color w:val="000000"/>
                <w:szCs w:val="20"/>
              </w:rPr>
            </w:pPr>
            <w:r w:rsidRPr="005558E1">
              <w:rPr>
                <w:b/>
                <w:bCs/>
                <w:color w:val="000000"/>
                <w:szCs w:val="20"/>
              </w:rPr>
              <w:t> </w:t>
            </w:r>
          </w:p>
        </w:tc>
        <w:tc>
          <w:tcPr>
            <w:tcW w:w="1000" w:type="dxa"/>
            <w:noWrap/>
            <w:hideMark/>
          </w:tcPr>
          <w:p w14:paraId="28EB1F46" w14:textId="77777777" w:rsidR="005558E1" w:rsidRPr="005558E1" w:rsidRDefault="005558E1" w:rsidP="005558E1">
            <w:pPr>
              <w:cnfStyle w:val="000000100000" w:firstRow="0" w:lastRow="0" w:firstColumn="0" w:lastColumn="0" w:oddVBand="0" w:evenVBand="0" w:oddHBand="1" w:evenHBand="0" w:firstRowFirstColumn="0" w:firstRowLastColumn="0" w:lastRowFirstColumn="0" w:lastRowLastColumn="0"/>
              <w:rPr>
                <w:b/>
                <w:bCs/>
                <w:color w:val="000000"/>
                <w:szCs w:val="20"/>
              </w:rPr>
            </w:pPr>
            <w:r w:rsidRPr="005558E1">
              <w:rPr>
                <w:b/>
                <w:bCs/>
                <w:color w:val="000000"/>
                <w:szCs w:val="20"/>
              </w:rPr>
              <w:t> </w:t>
            </w:r>
          </w:p>
        </w:tc>
        <w:tc>
          <w:tcPr>
            <w:tcW w:w="1140" w:type="dxa"/>
            <w:noWrap/>
            <w:hideMark/>
          </w:tcPr>
          <w:p w14:paraId="5F1B9805" w14:textId="77777777" w:rsidR="005558E1" w:rsidRPr="005558E1" w:rsidRDefault="005558E1" w:rsidP="005558E1">
            <w:pPr>
              <w:cnfStyle w:val="000000100000" w:firstRow="0" w:lastRow="0" w:firstColumn="0" w:lastColumn="0" w:oddVBand="0" w:evenVBand="0" w:oddHBand="1" w:evenHBand="0" w:firstRowFirstColumn="0" w:firstRowLastColumn="0" w:lastRowFirstColumn="0" w:lastRowLastColumn="0"/>
              <w:rPr>
                <w:b/>
                <w:bCs/>
                <w:color w:val="000000"/>
                <w:szCs w:val="20"/>
              </w:rPr>
            </w:pPr>
            <w:r w:rsidRPr="005558E1">
              <w:rPr>
                <w:b/>
                <w:bCs/>
                <w:color w:val="000000"/>
                <w:szCs w:val="20"/>
              </w:rPr>
              <w:t> </w:t>
            </w:r>
          </w:p>
        </w:tc>
        <w:tc>
          <w:tcPr>
            <w:tcW w:w="1132" w:type="dxa"/>
            <w:noWrap/>
            <w:hideMark/>
          </w:tcPr>
          <w:p w14:paraId="40A3DE9E" w14:textId="06AC426A" w:rsidR="005558E1" w:rsidRPr="005558E1" w:rsidRDefault="000E7B5C" w:rsidP="005558E1">
            <w:pPr>
              <w:jc w:val="right"/>
              <w:cnfStyle w:val="000000100000" w:firstRow="0" w:lastRow="0" w:firstColumn="0" w:lastColumn="0" w:oddVBand="0" w:evenVBand="0" w:oddHBand="1" w:evenHBand="0" w:firstRowFirstColumn="0" w:firstRowLastColumn="0" w:lastRowFirstColumn="0" w:lastRowLastColumn="0"/>
              <w:rPr>
                <w:b/>
                <w:bCs/>
                <w:color w:val="000000"/>
                <w:szCs w:val="20"/>
              </w:rPr>
            </w:pPr>
            <w:r>
              <w:rPr>
                <w:b/>
                <w:bCs/>
                <w:color w:val="000000"/>
                <w:szCs w:val="20"/>
              </w:rPr>
              <w:t>$</w:t>
            </w:r>
            <w:r w:rsidR="005558E1" w:rsidRPr="005558E1">
              <w:rPr>
                <w:b/>
                <w:bCs/>
                <w:color w:val="000000"/>
                <w:szCs w:val="20"/>
              </w:rPr>
              <w:t>167,500.00</w:t>
            </w:r>
          </w:p>
        </w:tc>
        <w:tc>
          <w:tcPr>
            <w:tcW w:w="1260" w:type="dxa"/>
            <w:hideMark/>
          </w:tcPr>
          <w:p w14:paraId="69A03554" w14:textId="77777777" w:rsidR="005558E1" w:rsidRPr="005558E1" w:rsidRDefault="005558E1" w:rsidP="005558E1">
            <w:pPr>
              <w:cnfStyle w:val="000000100000" w:firstRow="0" w:lastRow="0" w:firstColumn="0" w:lastColumn="0" w:oddVBand="0" w:evenVBand="0" w:oddHBand="1" w:evenHBand="0" w:firstRowFirstColumn="0" w:firstRowLastColumn="0" w:lastRowFirstColumn="0" w:lastRowLastColumn="0"/>
              <w:rPr>
                <w:b/>
                <w:bCs/>
                <w:color w:val="000000"/>
                <w:szCs w:val="20"/>
              </w:rPr>
            </w:pPr>
            <w:r w:rsidRPr="005558E1">
              <w:rPr>
                <w:b/>
                <w:bCs/>
                <w:color w:val="000000"/>
                <w:szCs w:val="20"/>
              </w:rPr>
              <w:t> </w:t>
            </w:r>
          </w:p>
        </w:tc>
      </w:tr>
    </w:tbl>
    <w:p w14:paraId="7B76DE1F" w14:textId="0B8CDF96" w:rsidR="00DF6682" w:rsidRPr="00C92778" w:rsidRDefault="00DF6682" w:rsidP="00C92778">
      <w:pPr>
        <w:pStyle w:val="Heading1"/>
      </w:pPr>
      <w:r>
        <w:t>Deliverables</w:t>
      </w:r>
    </w:p>
    <w:tbl>
      <w:tblPr>
        <w:tblStyle w:val="MediumShading1-Accent1"/>
        <w:tblW w:w="9558" w:type="dxa"/>
        <w:tblLook w:val="04A0" w:firstRow="1" w:lastRow="0" w:firstColumn="1" w:lastColumn="0" w:noHBand="0" w:noVBand="1"/>
      </w:tblPr>
      <w:tblGrid>
        <w:gridCol w:w="3798"/>
        <w:gridCol w:w="2605"/>
        <w:gridCol w:w="3155"/>
      </w:tblGrid>
      <w:tr w:rsidR="00A0469E" w14:paraId="55E46E43" w14:textId="77777777" w:rsidTr="00A046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14:paraId="1A343C7B" w14:textId="77777777" w:rsidR="00807BB5" w:rsidRPr="00C36E4C" w:rsidRDefault="00807BB5" w:rsidP="00DF6682">
            <w:pPr>
              <w:pStyle w:val="BodyText"/>
              <w:rPr>
                <w:b w:val="0"/>
                <w:bCs w:val="0"/>
                <w:color w:val="FFFFFF"/>
              </w:rPr>
            </w:pPr>
            <w:r w:rsidRPr="00C36E4C">
              <w:rPr>
                <w:b w:val="0"/>
                <w:bCs w:val="0"/>
                <w:color w:val="FFFFFF"/>
              </w:rPr>
              <w:t>Deliverable</w:t>
            </w:r>
          </w:p>
        </w:tc>
        <w:tc>
          <w:tcPr>
            <w:tcW w:w="2605" w:type="dxa"/>
          </w:tcPr>
          <w:p w14:paraId="6100FFD7" w14:textId="77777777" w:rsidR="00807BB5" w:rsidRPr="00C36E4C" w:rsidRDefault="00807BB5" w:rsidP="00DF6682">
            <w:pPr>
              <w:pStyle w:val="BodyText"/>
              <w:cnfStyle w:val="100000000000" w:firstRow="1" w:lastRow="0" w:firstColumn="0" w:lastColumn="0" w:oddVBand="0" w:evenVBand="0" w:oddHBand="0" w:evenHBand="0" w:firstRowFirstColumn="0" w:firstRowLastColumn="0" w:lastRowFirstColumn="0" w:lastRowLastColumn="0"/>
              <w:rPr>
                <w:b w:val="0"/>
                <w:bCs w:val="0"/>
                <w:color w:val="FFFFFF"/>
              </w:rPr>
            </w:pPr>
            <w:r w:rsidRPr="00C36E4C">
              <w:rPr>
                <w:b w:val="0"/>
                <w:bCs w:val="0"/>
                <w:color w:val="FFFFFF"/>
              </w:rPr>
              <w:t>Produced/maintained by</w:t>
            </w:r>
          </w:p>
        </w:tc>
        <w:tc>
          <w:tcPr>
            <w:tcW w:w="3155" w:type="dxa"/>
          </w:tcPr>
          <w:p w14:paraId="7E63CE0B" w14:textId="77777777" w:rsidR="00807BB5" w:rsidRPr="00C36E4C" w:rsidRDefault="00807BB5" w:rsidP="00DF6682">
            <w:pPr>
              <w:pStyle w:val="BodyText"/>
              <w:cnfStyle w:val="100000000000" w:firstRow="1" w:lastRow="0" w:firstColumn="0" w:lastColumn="0" w:oddVBand="0" w:evenVBand="0" w:oddHBand="0" w:evenHBand="0" w:firstRowFirstColumn="0" w:firstRowLastColumn="0" w:lastRowFirstColumn="0" w:lastRowLastColumn="0"/>
              <w:rPr>
                <w:b w:val="0"/>
                <w:bCs w:val="0"/>
                <w:color w:val="FFFFFF"/>
              </w:rPr>
            </w:pPr>
            <w:r w:rsidRPr="00C36E4C">
              <w:rPr>
                <w:b w:val="0"/>
                <w:bCs w:val="0"/>
                <w:color w:val="FFFFFF"/>
              </w:rPr>
              <w:t>Approved by</w:t>
            </w:r>
          </w:p>
        </w:tc>
      </w:tr>
      <w:tr w:rsidR="00A0469E" w14:paraId="48260EFB" w14:textId="77777777" w:rsidTr="00A04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14:paraId="3766DA54" w14:textId="77777777" w:rsidR="00807BB5" w:rsidRPr="00C36E4C" w:rsidRDefault="00807BB5" w:rsidP="00F06E9F">
            <w:pPr>
              <w:pStyle w:val="BodyText"/>
              <w:rPr>
                <w:b w:val="0"/>
                <w:bCs w:val="0"/>
              </w:rPr>
            </w:pPr>
            <w:r w:rsidRPr="00C36E4C">
              <w:rPr>
                <w:b w:val="0"/>
                <w:bCs w:val="0"/>
              </w:rPr>
              <w:t>Project plan</w:t>
            </w:r>
          </w:p>
        </w:tc>
        <w:tc>
          <w:tcPr>
            <w:tcW w:w="2605" w:type="dxa"/>
          </w:tcPr>
          <w:p w14:paraId="7FD2A81F" w14:textId="4CE94F0C" w:rsidR="00807BB5" w:rsidRDefault="0076103B" w:rsidP="00DF6682">
            <w:pPr>
              <w:pStyle w:val="BodyText"/>
              <w:cnfStyle w:val="000000100000" w:firstRow="0" w:lastRow="0" w:firstColumn="0" w:lastColumn="0" w:oddVBand="0" w:evenVBand="0" w:oddHBand="1" w:evenHBand="0" w:firstRowFirstColumn="0" w:firstRowLastColumn="0" w:lastRowFirstColumn="0" w:lastRowLastColumn="0"/>
            </w:pPr>
            <w:r>
              <w:t>Harris/</w:t>
            </w:r>
            <w:r w:rsidR="002C5363">
              <w:t>Pormann</w:t>
            </w:r>
          </w:p>
        </w:tc>
        <w:tc>
          <w:tcPr>
            <w:tcW w:w="3155" w:type="dxa"/>
          </w:tcPr>
          <w:p w14:paraId="4F88A4C6" w14:textId="4E5B7B69" w:rsidR="00807BB5" w:rsidRDefault="00165887" w:rsidP="00DF6682">
            <w:pPr>
              <w:pStyle w:val="BodyText"/>
              <w:cnfStyle w:val="000000100000" w:firstRow="0" w:lastRow="0" w:firstColumn="0" w:lastColumn="0" w:oddVBand="0" w:evenVBand="0" w:oddHBand="1" w:evenHBand="0" w:firstRowFirstColumn="0" w:firstRowLastColumn="0" w:lastRowFirstColumn="0" w:lastRowLastColumn="0"/>
            </w:pPr>
            <w:r>
              <w:t>Sponsors</w:t>
            </w:r>
          </w:p>
        </w:tc>
      </w:tr>
      <w:tr w:rsidR="00A0469E" w14:paraId="34775644" w14:textId="77777777" w:rsidTr="00A046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14:paraId="77197EDC" w14:textId="77777777" w:rsidR="00807BB5" w:rsidRPr="00C36E4C" w:rsidRDefault="00807BB5" w:rsidP="00F06E9F">
            <w:pPr>
              <w:pStyle w:val="BodyText"/>
              <w:rPr>
                <w:b w:val="0"/>
                <w:bCs w:val="0"/>
              </w:rPr>
            </w:pPr>
            <w:r w:rsidRPr="00C36E4C">
              <w:rPr>
                <w:b w:val="0"/>
                <w:bCs w:val="0"/>
              </w:rPr>
              <w:t>Communications plan</w:t>
            </w:r>
          </w:p>
        </w:tc>
        <w:tc>
          <w:tcPr>
            <w:tcW w:w="2605" w:type="dxa"/>
          </w:tcPr>
          <w:p w14:paraId="2824A94C" w14:textId="269A41D7" w:rsidR="00807BB5" w:rsidRDefault="00165887" w:rsidP="00DF6682">
            <w:pPr>
              <w:pStyle w:val="BodyText"/>
              <w:cnfStyle w:val="000000010000" w:firstRow="0" w:lastRow="0" w:firstColumn="0" w:lastColumn="0" w:oddVBand="0" w:evenVBand="0" w:oddHBand="0" w:evenHBand="1" w:firstRowFirstColumn="0" w:firstRowLastColumn="0" w:lastRowFirstColumn="0" w:lastRowLastColumn="0"/>
            </w:pPr>
            <w:r>
              <w:t>Bonnett</w:t>
            </w:r>
          </w:p>
        </w:tc>
        <w:tc>
          <w:tcPr>
            <w:tcW w:w="3155" w:type="dxa"/>
          </w:tcPr>
          <w:p w14:paraId="217F8754" w14:textId="06DC8EA7" w:rsidR="00807BB5" w:rsidRDefault="00165887" w:rsidP="00DF6682">
            <w:pPr>
              <w:pStyle w:val="BodyText"/>
              <w:cnfStyle w:val="000000010000" w:firstRow="0" w:lastRow="0" w:firstColumn="0" w:lastColumn="0" w:oddVBand="0" w:evenVBand="0" w:oddHBand="0" w:evenHBand="1" w:firstRowFirstColumn="0" w:firstRowLastColumn="0" w:lastRowFirstColumn="0" w:lastRowLastColumn="0"/>
            </w:pPr>
            <w:r>
              <w:t>Sponsors/Cake</w:t>
            </w:r>
          </w:p>
        </w:tc>
      </w:tr>
      <w:tr w:rsidR="00A0469E" w14:paraId="58613156" w14:textId="77777777" w:rsidTr="00A04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14:paraId="613543BF" w14:textId="77777777" w:rsidR="00807BB5" w:rsidRPr="00C36E4C" w:rsidRDefault="00807BB5" w:rsidP="00F06E9F">
            <w:pPr>
              <w:pStyle w:val="BodyText"/>
              <w:rPr>
                <w:b w:val="0"/>
                <w:bCs w:val="0"/>
              </w:rPr>
            </w:pPr>
            <w:r w:rsidRPr="00C36E4C">
              <w:rPr>
                <w:b w:val="0"/>
                <w:bCs w:val="0"/>
              </w:rPr>
              <w:t>Status reports</w:t>
            </w:r>
          </w:p>
        </w:tc>
        <w:tc>
          <w:tcPr>
            <w:tcW w:w="2605" w:type="dxa"/>
          </w:tcPr>
          <w:p w14:paraId="5374D672" w14:textId="6DAFA067" w:rsidR="00807BB5" w:rsidRDefault="0076103B" w:rsidP="00DF6682">
            <w:pPr>
              <w:pStyle w:val="BodyText"/>
              <w:cnfStyle w:val="000000100000" w:firstRow="0" w:lastRow="0" w:firstColumn="0" w:lastColumn="0" w:oddVBand="0" w:evenVBand="0" w:oddHBand="1" w:evenHBand="0" w:firstRowFirstColumn="0" w:firstRowLastColumn="0" w:lastRowFirstColumn="0" w:lastRowLastColumn="0"/>
            </w:pPr>
            <w:r>
              <w:t>Harris</w:t>
            </w:r>
          </w:p>
        </w:tc>
        <w:tc>
          <w:tcPr>
            <w:tcW w:w="3155" w:type="dxa"/>
          </w:tcPr>
          <w:p w14:paraId="4453A802" w14:textId="6357E83B" w:rsidR="00807BB5" w:rsidRDefault="00165887" w:rsidP="00DF6682">
            <w:pPr>
              <w:pStyle w:val="BodyText"/>
              <w:cnfStyle w:val="000000100000" w:firstRow="0" w:lastRow="0" w:firstColumn="0" w:lastColumn="0" w:oddVBand="0" w:evenVBand="0" w:oddHBand="1" w:evenHBand="0" w:firstRowFirstColumn="0" w:firstRowLastColumn="0" w:lastRowFirstColumn="0" w:lastRowLastColumn="0"/>
            </w:pPr>
            <w:r>
              <w:t>N/A</w:t>
            </w:r>
          </w:p>
        </w:tc>
      </w:tr>
      <w:tr w:rsidR="00A0469E" w14:paraId="0946CACF" w14:textId="77777777" w:rsidTr="00A046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14:paraId="23AE9D91" w14:textId="77777777" w:rsidR="00807BB5" w:rsidRPr="00C36E4C" w:rsidRDefault="00807BB5" w:rsidP="00F06E9F">
            <w:pPr>
              <w:pStyle w:val="BodyText"/>
              <w:rPr>
                <w:b w:val="0"/>
                <w:bCs w:val="0"/>
              </w:rPr>
            </w:pPr>
            <w:r w:rsidRPr="00C36E4C">
              <w:rPr>
                <w:b w:val="0"/>
                <w:bCs w:val="0"/>
              </w:rPr>
              <w:t>Meeting notes</w:t>
            </w:r>
          </w:p>
        </w:tc>
        <w:tc>
          <w:tcPr>
            <w:tcW w:w="2605" w:type="dxa"/>
          </w:tcPr>
          <w:p w14:paraId="7CDF77AC" w14:textId="63B1B554" w:rsidR="00807BB5" w:rsidRDefault="002C5363" w:rsidP="00DF6682">
            <w:pPr>
              <w:pStyle w:val="BodyText"/>
              <w:cnfStyle w:val="000000010000" w:firstRow="0" w:lastRow="0" w:firstColumn="0" w:lastColumn="0" w:oddVBand="0" w:evenVBand="0" w:oddHBand="0" w:evenHBand="1" w:firstRowFirstColumn="0" w:firstRowLastColumn="0" w:lastRowFirstColumn="0" w:lastRowLastColumn="0"/>
            </w:pPr>
            <w:r>
              <w:t>Pormann</w:t>
            </w:r>
          </w:p>
        </w:tc>
        <w:tc>
          <w:tcPr>
            <w:tcW w:w="3155" w:type="dxa"/>
          </w:tcPr>
          <w:p w14:paraId="23FF03F0" w14:textId="5D24AEEF" w:rsidR="00807BB5" w:rsidRDefault="00165887" w:rsidP="00DF6682">
            <w:pPr>
              <w:pStyle w:val="BodyText"/>
              <w:cnfStyle w:val="000000010000" w:firstRow="0" w:lastRow="0" w:firstColumn="0" w:lastColumn="0" w:oddVBand="0" w:evenVBand="0" w:oddHBand="0" w:evenHBand="1" w:firstRowFirstColumn="0" w:firstRowLastColumn="0" w:lastRowFirstColumn="0" w:lastRowLastColumn="0"/>
            </w:pPr>
            <w:r>
              <w:t>N/A</w:t>
            </w:r>
          </w:p>
        </w:tc>
      </w:tr>
      <w:tr w:rsidR="00A0469E" w14:paraId="4DED5360" w14:textId="77777777" w:rsidTr="00A04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14:paraId="7BDF18A6" w14:textId="55EDC957" w:rsidR="00807BB5" w:rsidRPr="00C36E4C" w:rsidRDefault="00A20E2B" w:rsidP="00F06E9F">
            <w:pPr>
              <w:pStyle w:val="BodyText"/>
              <w:rPr>
                <w:b w:val="0"/>
                <w:bCs w:val="0"/>
              </w:rPr>
            </w:pPr>
            <w:r>
              <w:rPr>
                <w:b w:val="0"/>
                <w:bCs w:val="0"/>
              </w:rPr>
              <w:t>Use Cases</w:t>
            </w:r>
          </w:p>
        </w:tc>
        <w:tc>
          <w:tcPr>
            <w:tcW w:w="2605" w:type="dxa"/>
          </w:tcPr>
          <w:p w14:paraId="38C19403" w14:textId="1E51E5C0" w:rsidR="00807BB5" w:rsidRDefault="00A20E2B" w:rsidP="00DF6682">
            <w:pPr>
              <w:pStyle w:val="BodyText"/>
              <w:cnfStyle w:val="000000100000" w:firstRow="0" w:lastRow="0" w:firstColumn="0" w:lastColumn="0" w:oddVBand="0" w:evenVBand="0" w:oddHBand="1" w:evenHBand="0" w:firstRowFirstColumn="0" w:firstRowLastColumn="0" w:lastRowFirstColumn="0" w:lastRowLastColumn="0"/>
            </w:pPr>
            <w:r>
              <w:t>Board</w:t>
            </w:r>
          </w:p>
        </w:tc>
        <w:tc>
          <w:tcPr>
            <w:tcW w:w="3155" w:type="dxa"/>
          </w:tcPr>
          <w:p w14:paraId="75580CBB" w14:textId="6D9665D0" w:rsidR="00807BB5" w:rsidRDefault="00995E59" w:rsidP="00DF6682">
            <w:pPr>
              <w:pStyle w:val="BodyText"/>
              <w:cnfStyle w:val="000000100000" w:firstRow="0" w:lastRow="0" w:firstColumn="0" w:lastColumn="0" w:oddVBand="0" w:evenVBand="0" w:oddHBand="1" w:evenHBand="0" w:firstRowFirstColumn="0" w:firstRowLastColumn="0" w:lastRowFirstColumn="0" w:lastRowLastColumn="0"/>
            </w:pPr>
            <w:r>
              <w:t>Sponsors</w:t>
            </w:r>
          </w:p>
        </w:tc>
      </w:tr>
      <w:tr w:rsidR="00A0469E" w14:paraId="786E9EF6" w14:textId="77777777" w:rsidTr="00A046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14:paraId="5B9F28EB" w14:textId="41E75451" w:rsidR="00A20E2B" w:rsidRPr="00C36E4C" w:rsidRDefault="00A20E2B" w:rsidP="00F06E9F">
            <w:pPr>
              <w:pStyle w:val="BodyText"/>
              <w:rPr>
                <w:b w:val="0"/>
                <w:bCs w:val="0"/>
              </w:rPr>
            </w:pPr>
            <w:r>
              <w:rPr>
                <w:b w:val="0"/>
                <w:bCs w:val="0"/>
              </w:rPr>
              <w:t>Test Plan</w:t>
            </w:r>
          </w:p>
        </w:tc>
        <w:tc>
          <w:tcPr>
            <w:tcW w:w="2605" w:type="dxa"/>
          </w:tcPr>
          <w:p w14:paraId="03F1A3B4" w14:textId="0A575360" w:rsidR="00A20E2B" w:rsidRDefault="00995E59" w:rsidP="00DF6682">
            <w:pPr>
              <w:pStyle w:val="BodyText"/>
              <w:cnfStyle w:val="000000010000" w:firstRow="0" w:lastRow="0" w:firstColumn="0" w:lastColumn="0" w:oddVBand="0" w:evenVBand="0" w:oddHBand="0" w:evenHBand="1" w:firstRowFirstColumn="0" w:firstRowLastColumn="0" w:lastRowFirstColumn="0" w:lastRowLastColumn="0"/>
            </w:pPr>
            <w:r>
              <w:t>TBD</w:t>
            </w:r>
          </w:p>
        </w:tc>
        <w:tc>
          <w:tcPr>
            <w:tcW w:w="3155" w:type="dxa"/>
          </w:tcPr>
          <w:p w14:paraId="6821EC2E" w14:textId="53265268" w:rsidR="00A20E2B" w:rsidRDefault="00995E59" w:rsidP="00DF6682">
            <w:pPr>
              <w:pStyle w:val="BodyText"/>
              <w:cnfStyle w:val="000000010000" w:firstRow="0" w:lastRow="0" w:firstColumn="0" w:lastColumn="0" w:oddVBand="0" w:evenVBand="0" w:oddHBand="0" w:evenHBand="1" w:firstRowFirstColumn="0" w:firstRowLastColumn="0" w:lastRowFirstColumn="0" w:lastRowLastColumn="0"/>
            </w:pPr>
            <w:r>
              <w:t>Board/Chase</w:t>
            </w:r>
          </w:p>
        </w:tc>
      </w:tr>
      <w:tr w:rsidR="00A0469E" w14:paraId="26ABBC94" w14:textId="77777777" w:rsidTr="00A04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14:paraId="135206CB" w14:textId="7C2738D5" w:rsidR="006F199F" w:rsidRDefault="001B2B85" w:rsidP="00F06E9F">
            <w:pPr>
              <w:pStyle w:val="BodyText"/>
              <w:rPr>
                <w:b w:val="0"/>
                <w:bCs w:val="0"/>
              </w:rPr>
            </w:pPr>
            <w:r>
              <w:rPr>
                <w:b w:val="0"/>
                <w:bCs w:val="0"/>
              </w:rPr>
              <w:t>Standard</w:t>
            </w:r>
            <w:r w:rsidR="006F199F">
              <w:rPr>
                <w:b w:val="0"/>
                <w:bCs w:val="0"/>
              </w:rPr>
              <w:t xml:space="preserve"> Template </w:t>
            </w:r>
            <w:r>
              <w:rPr>
                <w:b w:val="0"/>
                <w:bCs w:val="0"/>
              </w:rPr>
              <w:t>for Research/</w:t>
            </w:r>
            <w:r w:rsidR="004104C7">
              <w:rPr>
                <w:b w:val="0"/>
                <w:bCs w:val="0"/>
              </w:rPr>
              <w:t xml:space="preserve"> </w:t>
            </w:r>
            <w:r>
              <w:rPr>
                <w:b w:val="0"/>
                <w:bCs w:val="0"/>
              </w:rPr>
              <w:t>Production Network Integration</w:t>
            </w:r>
          </w:p>
        </w:tc>
        <w:tc>
          <w:tcPr>
            <w:tcW w:w="2605" w:type="dxa"/>
          </w:tcPr>
          <w:p w14:paraId="4CDB6280" w14:textId="117F3608" w:rsidR="006F199F" w:rsidRDefault="006F199F" w:rsidP="00DF6682">
            <w:pPr>
              <w:pStyle w:val="BodyText"/>
              <w:cnfStyle w:val="000000100000" w:firstRow="0" w:lastRow="0" w:firstColumn="0" w:lastColumn="0" w:oddVBand="0" w:evenVBand="0" w:oddHBand="1" w:evenHBand="0" w:firstRowFirstColumn="0" w:firstRowLastColumn="0" w:lastRowFirstColumn="0" w:lastRowLastColumn="0"/>
            </w:pPr>
            <w:r>
              <w:t>TBD</w:t>
            </w:r>
          </w:p>
        </w:tc>
        <w:tc>
          <w:tcPr>
            <w:tcW w:w="3155" w:type="dxa"/>
          </w:tcPr>
          <w:p w14:paraId="175EB0A7" w14:textId="58488834" w:rsidR="006F199F" w:rsidRDefault="006F199F" w:rsidP="00DF6682">
            <w:pPr>
              <w:pStyle w:val="BodyText"/>
              <w:cnfStyle w:val="000000100000" w:firstRow="0" w:lastRow="0" w:firstColumn="0" w:lastColumn="0" w:oddVBand="0" w:evenVBand="0" w:oddHBand="1" w:evenHBand="0" w:firstRowFirstColumn="0" w:firstRowLastColumn="0" w:lastRowFirstColumn="0" w:lastRowLastColumn="0"/>
            </w:pPr>
            <w:r>
              <w:t>TBD</w:t>
            </w:r>
          </w:p>
        </w:tc>
      </w:tr>
      <w:tr w:rsidR="00A0469E" w14:paraId="34ACA702" w14:textId="77777777" w:rsidTr="00A046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14:paraId="4B4DF44B" w14:textId="0A2F1B87" w:rsidR="00A20E2B" w:rsidRPr="00C36E4C" w:rsidRDefault="00995E59" w:rsidP="00F06E9F">
            <w:pPr>
              <w:pStyle w:val="BodyText"/>
              <w:rPr>
                <w:b w:val="0"/>
                <w:bCs w:val="0"/>
              </w:rPr>
            </w:pPr>
            <w:r>
              <w:rPr>
                <w:b w:val="0"/>
                <w:bCs w:val="0"/>
              </w:rPr>
              <w:t>Annual Project Report(s) to NSF</w:t>
            </w:r>
          </w:p>
        </w:tc>
        <w:tc>
          <w:tcPr>
            <w:tcW w:w="2605" w:type="dxa"/>
          </w:tcPr>
          <w:p w14:paraId="08A1B9D1" w14:textId="33CB0EB2" w:rsidR="00A20E2B" w:rsidRDefault="00995E59" w:rsidP="00DF6682">
            <w:pPr>
              <w:pStyle w:val="BodyText"/>
              <w:cnfStyle w:val="000000010000" w:firstRow="0" w:lastRow="0" w:firstColumn="0" w:lastColumn="0" w:oddVBand="0" w:evenVBand="0" w:oddHBand="0" w:evenHBand="1" w:firstRowFirstColumn="0" w:firstRowLastColumn="0" w:lastRowFirstColumn="0" w:lastRowLastColumn="0"/>
            </w:pPr>
            <w:r>
              <w:t>Futhey</w:t>
            </w:r>
            <w:r w:rsidR="00A05F74">
              <w:t>/Board</w:t>
            </w:r>
          </w:p>
        </w:tc>
        <w:tc>
          <w:tcPr>
            <w:tcW w:w="3155" w:type="dxa"/>
          </w:tcPr>
          <w:p w14:paraId="3F622EDD" w14:textId="3DCCC756" w:rsidR="00A20E2B" w:rsidRDefault="00995E59" w:rsidP="00DF6682">
            <w:pPr>
              <w:pStyle w:val="BodyText"/>
              <w:cnfStyle w:val="000000010000" w:firstRow="0" w:lastRow="0" w:firstColumn="0" w:lastColumn="0" w:oddVBand="0" w:evenVBand="0" w:oddHBand="0" w:evenHBand="1" w:firstRowFirstColumn="0" w:firstRowLastColumn="0" w:lastRowFirstColumn="0" w:lastRowLastColumn="0"/>
            </w:pPr>
            <w:r>
              <w:t>TBD</w:t>
            </w:r>
          </w:p>
        </w:tc>
      </w:tr>
      <w:tr w:rsidR="00A0469E" w14:paraId="4B080A35" w14:textId="77777777" w:rsidTr="00A04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14:paraId="79AD6AC4" w14:textId="7AFE55D1" w:rsidR="00A20E2B" w:rsidRPr="00C36E4C" w:rsidRDefault="00995E59" w:rsidP="00F06E9F">
            <w:pPr>
              <w:pStyle w:val="BodyText"/>
              <w:rPr>
                <w:b w:val="0"/>
                <w:bCs w:val="0"/>
              </w:rPr>
            </w:pPr>
            <w:r>
              <w:rPr>
                <w:b w:val="0"/>
                <w:bCs w:val="0"/>
              </w:rPr>
              <w:t>Final Project Report to NSF</w:t>
            </w:r>
          </w:p>
        </w:tc>
        <w:tc>
          <w:tcPr>
            <w:tcW w:w="2605" w:type="dxa"/>
          </w:tcPr>
          <w:p w14:paraId="0CE5D485" w14:textId="0FFF9DA1" w:rsidR="00A20E2B" w:rsidRDefault="00995E59" w:rsidP="00DF6682">
            <w:pPr>
              <w:pStyle w:val="BodyText"/>
              <w:cnfStyle w:val="000000100000" w:firstRow="0" w:lastRow="0" w:firstColumn="0" w:lastColumn="0" w:oddVBand="0" w:evenVBand="0" w:oddHBand="1" w:evenHBand="0" w:firstRowFirstColumn="0" w:firstRowLastColumn="0" w:lastRowFirstColumn="0" w:lastRowLastColumn="0"/>
            </w:pPr>
            <w:r>
              <w:t>Futhey</w:t>
            </w:r>
            <w:r w:rsidR="00A05F74">
              <w:t>/Board</w:t>
            </w:r>
          </w:p>
        </w:tc>
        <w:tc>
          <w:tcPr>
            <w:tcW w:w="3155" w:type="dxa"/>
          </w:tcPr>
          <w:p w14:paraId="6816BAC5" w14:textId="74081052" w:rsidR="00A20E2B" w:rsidRDefault="00995E59" w:rsidP="00DF6682">
            <w:pPr>
              <w:pStyle w:val="BodyText"/>
              <w:cnfStyle w:val="000000100000" w:firstRow="0" w:lastRow="0" w:firstColumn="0" w:lastColumn="0" w:oddVBand="0" w:evenVBand="0" w:oddHBand="1" w:evenHBand="0" w:firstRowFirstColumn="0" w:firstRowLastColumn="0" w:lastRowFirstColumn="0" w:lastRowLastColumn="0"/>
            </w:pPr>
            <w:r>
              <w:t>TBD</w:t>
            </w:r>
          </w:p>
        </w:tc>
      </w:tr>
      <w:tr w:rsidR="00A0469E" w14:paraId="1777574D" w14:textId="77777777" w:rsidTr="00A046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14:paraId="3D669C98" w14:textId="1A83DDB2" w:rsidR="00BE7461" w:rsidRDefault="00BE7461" w:rsidP="00F06E9F">
            <w:pPr>
              <w:pStyle w:val="BodyText"/>
              <w:rPr>
                <w:b w:val="0"/>
                <w:bCs w:val="0"/>
              </w:rPr>
            </w:pPr>
            <w:r>
              <w:rPr>
                <w:b w:val="0"/>
                <w:bCs w:val="0"/>
              </w:rPr>
              <w:t>Project Outcomes Report</w:t>
            </w:r>
            <w:r w:rsidR="001622B1">
              <w:rPr>
                <w:b w:val="0"/>
                <w:bCs w:val="0"/>
              </w:rPr>
              <w:t xml:space="preserve"> for NSF (for public audience)</w:t>
            </w:r>
          </w:p>
        </w:tc>
        <w:tc>
          <w:tcPr>
            <w:tcW w:w="2605" w:type="dxa"/>
          </w:tcPr>
          <w:p w14:paraId="24925A52" w14:textId="5C4EF098" w:rsidR="00BE7461" w:rsidRDefault="00BE7461" w:rsidP="00DF6682">
            <w:pPr>
              <w:pStyle w:val="BodyText"/>
              <w:cnfStyle w:val="000000010000" w:firstRow="0" w:lastRow="0" w:firstColumn="0" w:lastColumn="0" w:oddVBand="0" w:evenVBand="0" w:oddHBand="0" w:evenHBand="1" w:firstRowFirstColumn="0" w:firstRowLastColumn="0" w:lastRowFirstColumn="0" w:lastRowLastColumn="0"/>
            </w:pPr>
            <w:r>
              <w:t>Futhey</w:t>
            </w:r>
            <w:r w:rsidR="00A05F74">
              <w:t>/Board</w:t>
            </w:r>
          </w:p>
        </w:tc>
        <w:tc>
          <w:tcPr>
            <w:tcW w:w="3155" w:type="dxa"/>
          </w:tcPr>
          <w:p w14:paraId="1D9FD33C" w14:textId="674A9254" w:rsidR="00BE7461" w:rsidRDefault="00BE7461" w:rsidP="00DF6682">
            <w:pPr>
              <w:pStyle w:val="BodyText"/>
              <w:cnfStyle w:val="000000010000" w:firstRow="0" w:lastRow="0" w:firstColumn="0" w:lastColumn="0" w:oddVBand="0" w:evenVBand="0" w:oddHBand="0" w:evenHBand="1" w:firstRowFirstColumn="0" w:firstRowLastColumn="0" w:lastRowFirstColumn="0" w:lastRowLastColumn="0"/>
            </w:pPr>
            <w:r>
              <w:t>TBD</w:t>
            </w:r>
          </w:p>
        </w:tc>
      </w:tr>
    </w:tbl>
    <w:p w14:paraId="519DB4A2" w14:textId="77777777" w:rsidR="001B4CC5" w:rsidRDefault="001B4CC5" w:rsidP="001B4CC5">
      <w:pPr>
        <w:pStyle w:val="Heading1"/>
      </w:pPr>
      <w:r>
        <w:t>Schedule</w:t>
      </w:r>
    </w:p>
    <w:p w14:paraId="273E951A" w14:textId="4660C8BA" w:rsidR="00FF5509" w:rsidRDefault="00FF5509" w:rsidP="001B4CC5">
      <w:pPr>
        <w:pStyle w:val="Heading1"/>
        <w:rPr>
          <w:b w:val="0"/>
          <w:sz w:val="20"/>
          <w:szCs w:val="20"/>
        </w:rPr>
      </w:pPr>
      <w:r w:rsidRPr="00FF5509">
        <w:rPr>
          <w:b w:val="0"/>
          <w:sz w:val="20"/>
          <w:szCs w:val="20"/>
        </w:rPr>
        <w:t>4th Quarter 2012</w:t>
      </w:r>
      <w:r w:rsidR="000549D7">
        <w:rPr>
          <w:b w:val="0"/>
          <w:sz w:val="20"/>
          <w:szCs w:val="20"/>
        </w:rPr>
        <w:t xml:space="preserve"> (October through December)</w:t>
      </w:r>
    </w:p>
    <w:p w14:paraId="64B69E3F" w14:textId="74F4C7D2" w:rsidR="00FF5509" w:rsidRDefault="00FF5509" w:rsidP="00FF5509">
      <w:pPr>
        <w:pStyle w:val="ListParagraph"/>
        <w:numPr>
          <w:ilvl w:val="0"/>
          <w:numId w:val="13"/>
        </w:numPr>
      </w:pPr>
      <w:r>
        <w:t xml:space="preserve">Select </w:t>
      </w:r>
      <w:r w:rsidR="00585096">
        <w:t>up to 5 vendors to invite for product evaluation sessions</w:t>
      </w:r>
    </w:p>
    <w:p w14:paraId="1C460057" w14:textId="777A92A6" w:rsidR="00FF5509" w:rsidRDefault="00FF5509" w:rsidP="00FF5509">
      <w:pPr>
        <w:pStyle w:val="ListParagraph"/>
        <w:numPr>
          <w:ilvl w:val="0"/>
          <w:numId w:val="13"/>
        </w:numPr>
      </w:pPr>
      <w:r>
        <w:t>Hold vendor product evaluation sessions (via Telepresence)</w:t>
      </w:r>
    </w:p>
    <w:p w14:paraId="6DA2BC39" w14:textId="65486FB6" w:rsidR="00585096" w:rsidRDefault="00585096" w:rsidP="00FF5509">
      <w:pPr>
        <w:pStyle w:val="ListParagraph"/>
        <w:numPr>
          <w:ilvl w:val="0"/>
          <w:numId w:val="13"/>
        </w:numPr>
      </w:pPr>
      <w:r>
        <w:t>Select equipment for testing; arrange for equipment loans</w:t>
      </w:r>
    </w:p>
    <w:p w14:paraId="07032A61" w14:textId="49D134B5" w:rsidR="004177E9" w:rsidRDefault="004177E9" w:rsidP="004177E9">
      <w:pPr>
        <w:pStyle w:val="ListParagraph"/>
        <w:numPr>
          <w:ilvl w:val="0"/>
          <w:numId w:val="13"/>
        </w:numPr>
      </w:pPr>
      <w:r>
        <w:t>Create/finalize equipment test plan</w:t>
      </w:r>
    </w:p>
    <w:p w14:paraId="07487171" w14:textId="0134A50A" w:rsidR="001B2B85" w:rsidRDefault="001B2B85" w:rsidP="004177E9">
      <w:pPr>
        <w:pStyle w:val="ListParagraph"/>
        <w:numPr>
          <w:ilvl w:val="0"/>
          <w:numId w:val="13"/>
        </w:numPr>
      </w:pPr>
      <w:r>
        <w:t>Establish locations for test beds</w:t>
      </w:r>
    </w:p>
    <w:p w14:paraId="171BB724" w14:textId="4894CD0B" w:rsidR="00585096" w:rsidRPr="00FF5509" w:rsidRDefault="00585096" w:rsidP="00FF5509">
      <w:pPr>
        <w:pStyle w:val="ListParagraph"/>
        <w:numPr>
          <w:ilvl w:val="0"/>
          <w:numId w:val="13"/>
        </w:numPr>
      </w:pPr>
      <w:r>
        <w:t>Prepare physical infrastructure for testing</w:t>
      </w:r>
    </w:p>
    <w:p w14:paraId="26EABEDE" w14:textId="0F608606" w:rsidR="00FF5509" w:rsidRDefault="00FF5509" w:rsidP="001B4CC5">
      <w:pPr>
        <w:pStyle w:val="Heading1"/>
        <w:rPr>
          <w:b w:val="0"/>
          <w:sz w:val="20"/>
          <w:szCs w:val="20"/>
        </w:rPr>
      </w:pPr>
      <w:r w:rsidRPr="00FF5509">
        <w:rPr>
          <w:b w:val="0"/>
          <w:sz w:val="20"/>
          <w:szCs w:val="20"/>
        </w:rPr>
        <w:lastRenderedPageBreak/>
        <w:t>1st Quarter 2013</w:t>
      </w:r>
      <w:r w:rsidR="000549D7">
        <w:rPr>
          <w:b w:val="0"/>
          <w:sz w:val="20"/>
          <w:szCs w:val="20"/>
        </w:rPr>
        <w:t xml:space="preserve"> (January through </w:t>
      </w:r>
      <w:commentRangeStart w:id="1"/>
      <w:r w:rsidR="000549D7">
        <w:rPr>
          <w:b w:val="0"/>
          <w:sz w:val="20"/>
          <w:szCs w:val="20"/>
        </w:rPr>
        <w:t>March</w:t>
      </w:r>
      <w:commentRangeEnd w:id="1"/>
      <w:r w:rsidR="00DC3873">
        <w:rPr>
          <w:rStyle w:val="CommentReference"/>
          <w:rFonts w:cs="Times New Roman"/>
          <w:b w:val="0"/>
          <w:bCs w:val="0"/>
          <w:kern w:val="0"/>
        </w:rPr>
        <w:commentReference w:id="1"/>
      </w:r>
      <w:r w:rsidR="000549D7">
        <w:rPr>
          <w:b w:val="0"/>
          <w:sz w:val="20"/>
          <w:szCs w:val="20"/>
        </w:rPr>
        <w:t>)</w:t>
      </w:r>
    </w:p>
    <w:p w14:paraId="26F27CD9" w14:textId="701148A0" w:rsidR="00F52576" w:rsidRDefault="00F52576" w:rsidP="00FA7172">
      <w:pPr>
        <w:pStyle w:val="ListParagraph"/>
        <w:numPr>
          <w:ilvl w:val="0"/>
          <w:numId w:val="14"/>
        </w:numPr>
      </w:pPr>
      <w:r>
        <w:t>Install</w:t>
      </w:r>
      <w:r w:rsidR="001D0EB2">
        <w:t xml:space="preserve"> and configure</w:t>
      </w:r>
      <w:r>
        <w:t xml:space="preserve"> (3) edge switches and instrumentation</w:t>
      </w:r>
    </w:p>
    <w:p w14:paraId="00AAFE88" w14:textId="016F0AC5" w:rsidR="00FA7172" w:rsidRDefault="001B2B85" w:rsidP="00FA7172">
      <w:pPr>
        <w:pStyle w:val="ListParagraph"/>
        <w:numPr>
          <w:ilvl w:val="0"/>
          <w:numId w:val="14"/>
        </w:numPr>
      </w:pPr>
      <w:r>
        <w:t xml:space="preserve">Conduct testing on vendor 1 equipment </w:t>
      </w:r>
      <w:r w:rsidR="000C5A2B">
        <w:t>in closed environment; document results</w:t>
      </w:r>
    </w:p>
    <w:p w14:paraId="5FDDCD32" w14:textId="1BFCD2F4" w:rsidR="000C5A2B" w:rsidRDefault="000C5A2B" w:rsidP="00FA7172">
      <w:pPr>
        <w:pStyle w:val="ListParagraph"/>
        <w:numPr>
          <w:ilvl w:val="0"/>
          <w:numId w:val="14"/>
        </w:numPr>
      </w:pPr>
      <w:r>
        <w:t>Expand testing to multiple vendors in closed environment; document results</w:t>
      </w:r>
    </w:p>
    <w:p w14:paraId="18D6811B" w14:textId="1F820B82" w:rsidR="000C5A2B" w:rsidRDefault="000549D7" w:rsidP="00FA7172">
      <w:pPr>
        <w:pStyle w:val="ListParagraph"/>
        <w:numPr>
          <w:ilvl w:val="0"/>
          <w:numId w:val="14"/>
        </w:numPr>
      </w:pPr>
      <w:r>
        <w:t>Expand testing to include</w:t>
      </w:r>
      <w:r w:rsidR="000C5A2B">
        <w:t xml:space="preserve"> </w:t>
      </w:r>
      <w:r>
        <w:t xml:space="preserve">initial </w:t>
      </w:r>
      <w:r w:rsidR="000C5A2B">
        <w:t>live departments (IGSP, Physics)</w:t>
      </w:r>
      <w:r>
        <w:t>; document results</w:t>
      </w:r>
    </w:p>
    <w:p w14:paraId="6F396272" w14:textId="373DAEC8" w:rsidR="000C5A2B" w:rsidRDefault="000C5A2B" w:rsidP="00FA7172">
      <w:pPr>
        <w:pStyle w:val="ListParagraph"/>
        <w:numPr>
          <w:ilvl w:val="0"/>
          <w:numId w:val="14"/>
        </w:numPr>
      </w:pPr>
      <w:r>
        <w:t xml:space="preserve">Determine how </w:t>
      </w:r>
      <w:r w:rsidR="003B2724">
        <w:t xml:space="preserve">additional </w:t>
      </w:r>
      <w:r>
        <w:t>test partners will be selected</w:t>
      </w:r>
    </w:p>
    <w:p w14:paraId="61B601F7" w14:textId="1E7638EC" w:rsidR="008F3EE7" w:rsidRDefault="008F3EE7" w:rsidP="00FA7172">
      <w:pPr>
        <w:pStyle w:val="ListParagraph"/>
        <w:numPr>
          <w:ilvl w:val="0"/>
          <w:numId w:val="14"/>
        </w:numPr>
      </w:pPr>
      <w:r>
        <w:t>Finalize selection of additional test partners</w:t>
      </w:r>
    </w:p>
    <w:p w14:paraId="5B004095" w14:textId="15528FA7" w:rsidR="000549D7" w:rsidRDefault="000549D7" w:rsidP="00FA7172">
      <w:pPr>
        <w:pStyle w:val="ListParagraph"/>
        <w:numPr>
          <w:ilvl w:val="0"/>
          <w:numId w:val="14"/>
        </w:numPr>
      </w:pPr>
      <w:r>
        <w:t>Determine if newly-developed technologies should be added to testing</w:t>
      </w:r>
    </w:p>
    <w:p w14:paraId="00C9BF3F" w14:textId="05025AC4" w:rsidR="00FF5509" w:rsidRPr="00FF5509" w:rsidRDefault="00FF5509" w:rsidP="00FF5509">
      <w:pPr>
        <w:pStyle w:val="Heading1"/>
        <w:rPr>
          <w:b w:val="0"/>
          <w:sz w:val="20"/>
          <w:szCs w:val="20"/>
        </w:rPr>
      </w:pPr>
      <w:r w:rsidRPr="00FF5509">
        <w:rPr>
          <w:b w:val="0"/>
          <w:sz w:val="20"/>
          <w:szCs w:val="20"/>
        </w:rPr>
        <w:t>2nd Quarter 2013</w:t>
      </w:r>
      <w:r w:rsidR="000549D7">
        <w:rPr>
          <w:b w:val="0"/>
          <w:sz w:val="20"/>
          <w:szCs w:val="20"/>
        </w:rPr>
        <w:t xml:space="preserve"> (April through June)</w:t>
      </w:r>
    </w:p>
    <w:p w14:paraId="16A91BE0" w14:textId="4DC811D2" w:rsidR="00FF5509" w:rsidRDefault="000549D7" w:rsidP="000C5A2B">
      <w:pPr>
        <w:pStyle w:val="ListParagraph"/>
        <w:numPr>
          <w:ilvl w:val="0"/>
          <w:numId w:val="14"/>
        </w:numPr>
      </w:pPr>
      <w:r>
        <w:t>Determine if improvements to 10Gb for test partners networks are required; implement improvements as needed</w:t>
      </w:r>
    </w:p>
    <w:p w14:paraId="795366FE" w14:textId="7CF24160" w:rsidR="00305548" w:rsidRDefault="00305548" w:rsidP="000C5A2B">
      <w:pPr>
        <w:pStyle w:val="ListParagraph"/>
        <w:numPr>
          <w:ilvl w:val="0"/>
          <w:numId w:val="14"/>
        </w:numPr>
      </w:pPr>
      <w:r>
        <w:t>Acquire newly-developed technologies as needed; add to testing plan</w:t>
      </w:r>
    </w:p>
    <w:p w14:paraId="0FA30B39" w14:textId="74C2FE80" w:rsidR="00305548" w:rsidRDefault="00305548" w:rsidP="000C5A2B">
      <w:pPr>
        <w:pStyle w:val="ListParagraph"/>
        <w:numPr>
          <w:ilvl w:val="0"/>
          <w:numId w:val="14"/>
        </w:numPr>
      </w:pPr>
      <w:r>
        <w:t>Begin testing with additional test partners</w:t>
      </w:r>
    </w:p>
    <w:p w14:paraId="6204F78C" w14:textId="0F095A2E" w:rsidR="004D456B" w:rsidRDefault="004D456B" w:rsidP="004D456B">
      <w:pPr>
        <w:pStyle w:val="ListParagraph"/>
        <w:numPr>
          <w:ilvl w:val="0"/>
          <w:numId w:val="14"/>
        </w:numPr>
      </w:pPr>
      <w:r>
        <w:t>Investigate HSCP and Grid FTP tools; document initial findings</w:t>
      </w:r>
    </w:p>
    <w:p w14:paraId="709F0FF4" w14:textId="13C87759" w:rsidR="00FF5509" w:rsidRPr="00F97F57" w:rsidRDefault="00F97F57" w:rsidP="001B4CC5">
      <w:pPr>
        <w:pStyle w:val="Heading1"/>
        <w:rPr>
          <w:b w:val="0"/>
          <w:sz w:val="20"/>
          <w:szCs w:val="20"/>
        </w:rPr>
      </w:pPr>
      <w:r w:rsidRPr="00F97F57">
        <w:rPr>
          <w:b w:val="0"/>
          <w:sz w:val="20"/>
          <w:szCs w:val="20"/>
        </w:rPr>
        <w:t>3rd Quarter 2013 (July – September)</w:t>
      </w:r>
    </w:p>
    <w:p w14:paraId="223D619E" w14:textId="1F9CE155" w:rsidR="00F97F57" w:rsidRDefault="00F97F57" w:rsidP="00F97F57">
      <w:pPr>
        <w:pStyle w:val="ListParagraph"/>
        <w:numPr>
          <w:ilvl w:val="0"/>
          <w:numId w:val="17"/>
        </w:numPr>
      </w:pPr>
      <w:r>
        <w:t>Continue testing with additional test partners</w:t>
      </w:r>
    </w:p>
    <w:p w14:paraId="216FDB52" w14:textId="77777777" w:rsidR="001039F8" w:rsidRDefault="001039F8" w:rsidP="001039F8">
      <w:pPr>
        <w:pStyle w:val="ListParagraph"/>
        <w:numPr>
          <w:ilvl w:val="0"/>
          <w:numId w:val="17"/>
        </w:numPr>
      </w:pPr>
      <w:r>
        <w:t>Determine if newly-developed technologies should be added to testing</w:t>
      </w:r>
    </w:p>
    <w:p w14:paraId="63B678D0" w14:textId="77777777" w:rsidR="001039F8" w:rsidRDefault="001039F8" w:rsidP="001039F8">
      <w:pPr>
        <w:pStyle w:val="ListParagraph"/>
        <w:numPr>
          <w:ilvl w:val="0"/>
          <w:numId w:val="17"/>
        </w:numPr>
      </w:pPr>
      <w:r>
        <w:t>Acquire newly-developed technologies as needed; add to testing plan</w:t>
      </w:r>
    </w:p>
    <w:p w14:paraId="529D4187" w14:textId="77777777" w:rsidR="00874BBD" w:rsidRDefault="00874BBD" w:rsidP="00874BBD"/>
    <w:p w14:paraId="1542F5A7" w14:textId="3F26D860" w:rsidR="00874BBD" w:rsidRDefault="00874BBD" w:rsidP="00874BBD">
      <w:r>
        <w:t>4</w:t>
      </w:r>
      <w:r w:rsidRPr="00874BBD">
        <w:rPr>
          <w:vertAlign w:val="superscript"/>
        </w:rPr>
        <w:t>th</w:t>
      </w:r>
      <w:r>
        <w:t xml:space="preserve"> Quarter 2013 (October – December)</w:t>
      </w:r>
    </w:p>
    <w:p w14:paraId="3FCC6955" w14:textId="162605C1" w:rsidR="00874BBD" w:rsidRDefault="00874BBD" w:rsidP="00874BBD">
      <w:pPr>
        <w:pStyle w:val="ListParagraph"/>
        <w:numPr>
          <w:ilvl w:val="0"/>
          <w:numId w:val="18"/>
        </w:numPr>
      </w:pPr>
      <w:r>
        <w:t>Submit 1</w:t>
      </w:r>
      <w:r w:rsidRPr="00874BBD">
        <w:rPr>
          <w:vertAlign w:val="superscript"/>
        </w:rPr>
        <w:t>st</w:t>
      </w:r>
      <w:r>
        <w:t xml:space="preserve"> annual report (October 1)</w:t>
      </w:r>
    </w:p>
    <w:p w14:paraId="5047B264" w14:textId="0EA530E9" w:rsidR="00874BBD" w:rsidRDefault="00426173" w:rsidP="00874BBD">
      <w:pPr>
        <w:pStyle w:val="ListParagraph"/>
        <w:numPr>
          <w:ilvl w:val="0"/>
          <w:numId w:val="18"/>
        </w:numPr>
      </w:pPr>
      <w:r>
        <w:t>Conclude testing and d</w:t>
      </w:r>
      <w:r w:rsidR="00874BBD">
        <w:t>ocument results</w:t>
      </w:r>
    </w:p>
    <w:p w14:paraId="72013D26" w14:textId="1BE13412" w:rsidR="00F52576" w:rsidRDefault="00F52576" w:rsidP="00874BBD">
      <w:pPr>
        <w:pStyle w:val="ListParagraph"/>
        <w:numPr>
          <w:ilvl w:val="0"/>
          <w:numId w:val="18"/>
        </w:numPr>
      </w:pPr>
      <w:r>
        <w:t xml:space="preserve">Determine if </w:t>
      </w:r>
      <w:r w:rsidR="005E0D5B">
        <w:t xml:space="preserve">capacity </w:t>
      </w:r>
      <w:r>
        <w:t>improvements/change</w:t>
      </w:r>
      <w:r w:rsidR="005E0D5B">
        <w:t>s</w:t>
      </w:r>
      <w:r>
        <w:t xml:space="preserve"> to uplinks are needed</w:t>
      </w:r>
    </w:p>
    <w:p w14:paraId="390657C8" w14:textId="7EE71285" w:rsidR="00874BBD" w:rsidRDefault="00874BBD" w:rsidP="00874BBD">
      <w:pPr>
        <w:pStyle w:val="ListParagraph"/>
        <w:numPr>
          <w:ilvl w:val="0"/>
          <w:numId w:val="18"/>
        </w:numPr>
      </w:pPr>
      <w:r>
        <w:t>Create network design document</w:t>
      </w:r>
      <w:r w:rsidR="00DF792D">
        <w:t xml:space="preserve"> with updated Campus CI plan</w:t>
      </w:r>
    </w:p>
    <w:p w14:paraId="3D9332AA" w14:textId="7E1722F1" w:rsidR="00874BBD" w:rsidRDefault="00874BBD" w:rsidP="00874BBD">
      <w:pPr>
        <w:pStyle w:val="ListParagraph"/>
        <w:numPr>
          <w:ilvl w:val="0"/>
          <w:numId w:val="18"/>
        </w:numPr>
      </w:pPr>
      <w:r>
        <w:t>Purchase equipment as needed</w:t>
      </w:r>
    </w:p>
    <w:p w14:paraId="0F041CB5" w14:textId="77777777" w:rsidR="00874BBD" w:rsidRDefault="00874BBD" w:rsidP="00874BBD"/>
    <w:p w14:paraId="396E16A5" w14:textId="57C6A577" w:rsidR="00874BBD" w:rsidRDefault="00874BBD" w:rsidP="00874BBD">
      <w:r>
        <w:t>1</w:t>
      </w:r>
      <w:r w:rsidRPr="00874BBD">
        <w:rPr>
          <w:vertAlign w:val="superscript"/>
        </w:rPr>
        <w:t>st</w:t>
      </w:r>
      <w:r>
        <w:t xml:space="preserve"> Quarter 2014 (January – March)</w:t>
      </w:r>
    </w:p>
    <w:p w14:paraId="7AC69D5E" w14:textId="4323557B" w:rsidR="00874BBD" w:rsidRDefault="00874BBD" w:rsidP="00874BBD">
      <w:pPr>
        <w:pStyle w:val="ListParagraph"/>
        <w:numPr>
          <w:ilvl w:val="0"/>
          <w:numId w:val="19"/>
        </w:numPr>
      </w:pPr>
      <w:r>
        <w:t>Deploy new network design, equipment</w:t>
      </w:r>
    </w:p>
    <w:p w14:paraId="739997DD" w14:textId="6663E99A" w:rsidR="004D456B" w:rsidRDefault="004D456B" w:rsidP="00874BBD">
      <w:pPr>
        <w:pStyle w:val="ListParagraph"/>
        <w:numPr>
          <w:ilvl w:val="0"/>
          <w:numId w:val="19"/>
        </w:numPr>
      </w:pPr>
      <w:r>
        <w:t>Investigate I2 performance tools; document initial findings</w:t>
      </w:r>
    </w:p>
    <w:p w14:paraId="725202E1" w14:textId="77777777" w:rsidR="00960B2E" w:rsidRDefault="00960B2E" w:rsidP="00960B2E"/>
    <w:p w14:paraId="6D42021A" w14:textId="0F549AAD" w:rsidR="00960B2E" w:rsidRDefault="00960B2E" w:rsidP="00960B2E">
      <w:r>
        <w:t>2</w:t>
      </w:r>
      <w:r w:rsidRPr="00960B2E">
        <w:rPr>
          <w:vertAlign w:val="superscript"/>
        </w:rPr>
        <w:t>nd</w:t>
      </w:r>
      <w:r>
        <w:t xml:space="preserve"> Quarter 2014 (April – </w:t>
      </w:r>
      <w:r w:rsidR="001A30BC">
        <w:t>June</w:t>
      </w:r>
      <w:r>
        <w:t>)</w:t>
      </w:r>
    </w:p>
    <w:p w14:paraId="10038B45" w14:textId="4EF1F8DB" w:rsidR="00B06CC4" w:rsidRDefault="00F52576" w:rsidP="00F52576">
      <w:pPr>
        <w:pStyle w:val="ListParagraph"/>
        <w:numPr>
          <w:ilvl w:val="0"/>
          <w:numId w:val="19"/>
        </w:numPr>
      </w:pPr>
      <w:r>
        <w:t>Conclude network design changes</w:t>
      </w:r>
      <w:r w:rsidR="006F382D">
        <w:t>, testing</w:t>
      </w:r>
    </w:p>
    <w:p w14:paraId="266BC7B5" w14:textId="77777777" w:rsidR="00F52576" w:rsidRDefault="00F52576" w:rsidP="00F52576">
      <w:pPr>
        <w:pStyle w:val="ListParagraph"/>
      </w:pPr>
    </w:p>
    <w:p w14:paraId="596C8927" w14:textId="705F3B14" w:rsidR="00B06CC4" w:rsidRDefault="00B06CC4" w:rsidP="00B06CC4">
      <w:r>
        <w:t>3</w:t>
      </w:r>
      <w:r w:rsidRPr="00B06CC4">
        <w:rPr>
          <w:vertAlign w:val="superscript"/>
        </w:rPr>
        <w:t>rd</w:t>
      </w:r>
      <w:r>
        <w:t xml:space="preserve"> Quarter 2014 (July – September)</w:t>
      </w:r>
    </w:p>
    <w:p w14:paraId="7CAAFB87" w14:textId="77777777" w:rsidR="00F52576" w:rsidRDefault="00F52576" w:rsidP="00F52576">
      <w:pPr>
        <w:pStyle w:val="ListParagraph"/>
        <w:numPr>
          <w:ilvl w:val="0"/>
          <w:numId w:val="20"/>
        </w:numPr>
      </w:pPr>
      <w:r>
        <w:t>Conduct transition to operations activities</w:t>
      </w:r>
    </w:p>
    <w:p w14:paraId="468052CB" w14:textId="77777777" w:rsidR="00F52576" w:rsidRDefault="00F52576" w:rsidP="00F52576">
      <w:pPr>
        <w:pStyle w:val="ListParagraph"/>
        <w:numPr>
          <w:ilvl w:val="0"/>
          <w:numId w:val="20"/>
        </w:numPr>
      </w:pPr>
      <w:r>
        <w:t xml:space="preserve">Provide training, consultation and support to researchers </w:t>
      </w:r>
    </w:p>
    <w:p w14:paraId="74D56023" w14:textId="28F1AA9D" w:rsidR="004D456B" w:rsidRDefault="00AB2643" w:rsidP="00F52576">
      <w:pPr>
        <w:pStyle w:val="ListParagraph"/>
        <w:numPr>
          <w:ilvl w:val="0"/>
          <w:numId w:val="20"/>
        </w:numPr>
      </w:pPr>
      <w:r>
        <w:t>Finalize plan for I</w:t>
      </w:r>
      <w:r w:rsidR="004D456B">
        <w:t>2 performance tool deployment</w:t>
      </w:r>
    </w:p>
    <w:p w14:paraId="3FE95784" w14:textId="75CF2B42" w:rsidR="00910014" w:rsidRDefault="00910014" w:rsidP="00F52576">
      <w:pPr>
        <w:pStyle w:val="ListParagraph"/>
        <w:numPr>
          <w:ilvl w:val="0"/>
          <w:numId w:val="20"/>
        </w:numPr>
      </w:pPr>
      <w:r>
        <w:t>Finalize plan for HSCP and Grid FTP tool deployment</w:t>
      </w:r>
    </w:p>
    <w:p w14:paraId="05EF2EB6" w14:textId="77777777" w:rsidR="00B06CC4" w:rsidRDefault="00B06CC4" w:rsidP="00B06CC4"/>
    <w:p w14:paraId="2FFE547D" w14:textId="1C918D02" w:rsidR="00B06CC4" w:rsidRDefault="00B06CC4" w:rsidP="00B06CC4">
      <w:r>
        <w:t>4</w:t>
      </w:r>
      <w:r w:rsidRPr="00B06CC4">
        <w:rPr>
          <w:vertAlign w:val="superscript"/>
        </w:rPr>
        <w:t>th</w:t>
      </w:r>
      <w:r>
        <w:t xml:space="preserve"> Quarter 2014 (October – December)</w:t>
      </w:r>
    </w:p>
    <w:p w14:paraId="38AB3EB6" w14:textId="7EA9E495" w:rsidR="00B06CC4" w:rsidRDefault="00B06CC4" w:rsidP="00B06CC4">
      <w:pPr>
        <w:pStyle w:val="ListParagraph"/>
        <w:numPr>
          <w:ilvl w:val="0"/>
          <w:numId w:val="20"/>
        </w:numPr>
      </w:pPr>
      <w:r>
        <w:t>Submit 2</w:t>
      </w:r>
      <w:r w:rsidRPr="00B06CC4">
        <w:rPr>
          <w:vertAlign w:val="superscript"/>
        </w:rPr>
        <w:t>nd</w:t>
      </w:r>
      <w:r>
        <w:t xml:space="preserve"> annual report (October 1)</w:t>
      </w:r>
    </w:p>
    <w:p w14:paraId="232993F3" w14:textId="77777777" w:rsidR="00F52576" w:rsidRDefault="00F52576" w:rsidP="00F52576">
      <w:pPr>
        <w:pStyle w:val="ListParagraph"/>
        <w:numPr>
          <w:ilvl w:val="0"/>
          <w:numId w:val="20"/>
        </w:numPr>
      </w:pPr>
      <w:r>
        <w:t>Finalize Standard Template for Research/Production Network Integration</w:t>
      </w:r>
    </w:p>
    <w:p w14:paraId="658A1DE6" w14:textId="6E9F0FB9" w:rsidR="00B06CC4" w:rsidRDefault="00307FEB" w:rsidP="00B06CC4">
      <w:pPr>
        <w:pStyle w:val="ListParagraph"/>
        <w:numPr>
          <w:ilvl w:val="0"/>
          <w:numId w:val="20"/>
        </w:numPr>
      </w:pPr>
      <w:r>
        <w:t>Draft final grant report and public-facing outcomes report</w:t>
      </w:r>
    </w:p>
    <w:p w14:paraId="6F8F7C43" w14:textId="77777777" w:rsidR="00307FEB" w:rsidRDefault="00307FEB" w:rsidP="00307FEB"/>
    <w:p w14:paraId="58B188EA" w14:textId="2DDE5732" w:rsidR="00307FEB" w:rsidRDefault="00307FEB" w:rsidP="00307FEB">
      <w:r>
        <w:t xml:space="preserve">Submit final grant report and outcomes report by March 30, 2015 (90 days after end of grant period).  </w:t>
      </w:r>
    </w:p>
    <w:p w14:paraId="234D26AD" w14:textId="02A4683C" w:rsidR="009226AD" w:rsidRDefault="008841F7" w:rsidP="009226AD">
      <w:pPr>
        <w:pStyle w:val="Heading1"/>
      </w:pPr>
      <w:r>
        <w:lastRenderedPageBreak/>
        <w:t>Success Indicators</w:t>
      </w:r>
    </w:p>
    <w:p w14:paraId="61D172BE" w14:textId="3822032E" w:rsidR="009226AD" w:rsidRPr="009226AD" w:rsidRDefault="009226AD" w:rsidP="009226AD">
      <w:r>
        <w:t xml:space="preserve">Success for the grant is the production of the required research-backed reports on the status of software defined networking in an enterprise environment.  </w:t>
      </w:r>
      <w:r w:rsidR="00D33728">
        <w:t>The project team and sponsors will define project success indicators for Duke</w:t>
      </w:r>
      <w:r>
        <w:t>.</w:t>
      </w:r>
    </w:p>
    <w:p w14:paraId="6CF0881C" w14:textId="77777777" w:rsidR="003433C9" w:rsidRDefault="003433C9" w:rsidP="003433C9">
      <w:pPr>
        <w:pStyle w:val="Heading1"/>
      </w:pPr>
      <w:r>
        <w:t>Scope Change Management</w:t>
      </w:r>
    </w:p>
    <w:p w14:paraId="62A279B4" w14:textId="039EBDF2" w:rsidR="003433C9" w:rsidRPr="00064299" w:rsidRDefault="00064299" w:rsidP="003433C9">
      <w:pPr>
        <w:pStyle w:val="BodyText"/>
      </w:pPr>
      <w:r>
        <w:t>Because this project is tied to a grant, any requests for scope change will have to be approved by the grant PI/co-PI.  The project manager will submit any scope change requests to the project sponsors.  Those changes recommended by the sponsors will be submitted to the PI/co-PI for final approval.</w:t>
      </w:r>
      <w:r w:rsidR="00A47F8F">
        <w:t xml:space="preserve">  The Duke Research Computing Advisory Committee (RCAC) will act as an arbitration body if necessary.</w:t>
      </w:r>
    </w:p>
    <w:p w14:paraId="0E23DF03" w14:textId="77777777" w:rsidR="001B4CC5" w:rsidRDefault="00807BB5" w:rsidP="001B4CC5">
      <w:pPr>
        <w:pStyle w:val="Heading1"/>
      </w:pPr>
      <w:r>
        <w:t>Project/Initiative Closure, Transition to Operations</w:t>
      </w:r>
      <w:r w:rsidR="001B4CC5">
        <w:t xml:space="preserve"> </w:t>
      </w:r>
    </w:p>
    <w:p w14:paraId="112F29CB" w14:textId="0F8B0A12" w:rsidR="001B4CC5" w:rsidRPr="00B63A5C" w:rsidRDefault="00B63A5C" w:rsidP="001B4CC5">
      <w:pPr>
        <w:pStyle w:val="BodyText"/>
      </w:pPr>
      <w:r>
        <w:t xml:space="preserve">This project involves testing of </w:t>
      </w:r>
      <w:r w:rsidR="00A26B7C">
        <w:t xml:space="preserve">“experimental” </w:t>
      </w:r>
      <w:r w:rsidR="00585096">
        <w:t xml:space="preserve">hybrid </w:t>
      </w:r>
      <w:r w:rsidR="00A26B7C">
        <w:t>devices.  Those selected for deployment on Duke’s production network will go through OIT’s Service Readiness Board and Change Management review processes.</w:t>
      </w:r>
    </w:p>
    <w:p w14:paraId="596310F5" w14:textId="77777777" w:rsidR="005B2821" w:rsidRDefault="005B2821" w:rsidP="005B2821">
      <w:pPr>
        <w:pStyle w:val="Heading1"/>
      </w:pPr>
      <w:r>
        <w:t>Distribution</w:t>
      </w:r>
    </w:p>
    <w:p w14:paraId="488E7A65" w14:textId="09D15B43" w:rsidR="005B2821" w:rsidRPr="00A26B7C" w:rsidRDefault="00A26B7C" w:rsidP="005B2821">
      <w:pPr>
        <w:pStyle w:val="BodyText"/>
      </w:pPr>
      <w:r>
        <w:t>John Board, Bob Johnson, Charley Kneifel, and Julian Lombardi</w:t>
      </w:r>
    </w:p>
    <w:sectPr w:rsidR="005B2821" w:rsidRPr="00A26B7C" w:rsidSect="00724349">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aurie Harris" w:date="2012-11-05T11:48:00Z" w:initials="LH">
    <w:p w14:paraId="21D853C5" w14:textId="105F53B3" w:rsidR="00DC3873" w:rsidRDefault="00DC3873">
      <w:pPr>
        <w:pStyle w:val="CommentText"/>
      </w:pPr>
      <w:r>
        <w:rPr>
          <w:rStyle w:val="CommentReference"/>
        </w:rPr>
        <w:annotationRef/>
      </w:r>
      <w:r w:rsidR="005F34C9">
        <w:t>In</w:t>
      </w:r>
      <w:r>
        <w:t xml:space="preserve"> both cost schedule and high level milestones ca</w:t>
      </w:r>
      <w:r w:rsidR="00DF369C">
        <w:t>ptur</w:t>
      </w:r>
      <w:r w:rsidR="00326089">
        <w:t>e the</w:t>
      </w:r>
      <w:r w:rsidR="00DF369C">
        <w:t xml:space="preserve"> details of </w:t>
      </w:r>
      <w:r>
        <w:t>plan</w:t>
      </w:r>
      <w:r w:rsidR="00DF369C">
        <w:t>ning, purchasing</w:t>
      </w:r>
      <w:r>
        <w:t xml:space="preserve"> optic/switches to enable connection of existing servers/networks to high speed SDN network – in </w:t>
      </w:r>
      <w:r w:rsidR="00200252">
        <w:t xml:space="preserve">Year one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4D1FD" w14:textId="77777777" w:rsidR="00A117DC" w:rsidRDefault="00A117DC">
      <w:r>
        <w:separator/>
      </w:r>
    </w:p>
  </w:endnote>
  <w:endnote w:type="continuationSeparator" w:id="0">
    <w:p w14:paraId="00C45CE5" w14:textId="77777777" w:rsidR="00A117DC" w:rsidRDefault="00A1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C0DC0" w14:textId="77777777" w:rsidR="001001E0" w:rsidRDefault="001001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6CBA1" w14:textId="77777777" w:rsidR="001001E0" w:rsidRPr="00561578" w:rsidRDefault="001001E0" w:rsidP="00112CAA">
    <w:pPr>
      <w:pStyle w:val="Footer"/>
      <w:rPr>
        <w:sz w:val="18"/>
        <w:szCs w:val="18"/>
      </w:rPr>
    </w:pPr>
    <w:r w:rsidRPr="00561578">
      <w:rPr>
        <w:sz w:val="18"/>
        <w:szCs w:val="18"/>
      </w:rPr>
      <w:tab/>
    </w:r>
    <w:r w:rsidRPr="00561578">
      <w:rPr>
        <w:rStyle w:val="PageNumber"/>
        <w:sz w:val="18"/>
        <w:szCs w:val="18"/>
      </w:rPr>
      <w:fldChar w:fldCharType="begin"/>
    </w:r>
    <w:r w:rsidRPr="00561578">
      <w:rPr>
        <w:rStyle w:val="PageNumber"/>
        <w:sz w:val="18"/>
        <w:szCs w:val="18"/>
      </w:rPr>
      <w:instrText xml:space="preserve"> PAGE </w:instrText>
    </w:r>
    <w:r w:rsidRPr="00561578">
      <w:rPr>
        <w:rStyle w:val="PageNumber"/>
        <w:sz w:val="18"/>
        <w:szCs w:val="18"/>
      </w:rPr>
      <w:fldChar w:fldCharType="separate"/>
    </w:r>
    <w:r w:rsidR="00F30A54">
      <w:rPr>
        <w:rStyle w:val="PageNumber"/>
        <w:noProof/>
        <w:sz w:val="18"/>
        <w:szCs w:val="18"/>
      </w:rPr>
      <w:t>5</w:t>
    </w:r>
    <w:r w:rsidRPr="00561578">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89289" w14:textId="4953C2B3" w:rsidR="001001E0" w:rsidRDefault="001001E0" w:rsidP="00724349">
    <w:pPr>
      <w:pStyle w:val="Footer"/>
      <w:ind w:right="360"/>
    </w:pPr>
    <w:r>
      <w:t>Rev. 4/25/12</w:t>
    </w:r>
    <w:r>
      <w:tab/>
    </w:r>
    <w:r>
      <w:tab/>
      <w:t>Prepared by Laurie Harris</w:t>
    </w:r>
  </w:p>
  <w:p w14:paraId="36BA7041" w14:textId="77777777" w:rsidR="001001E0" w:rsidRDefault="001001E0" w:rsidP="00112CAA">
    <w:pPr>
      <w:pStyle w:val="Footer"/>
      <w:tabs>
        <w:tab w:val="clear" w:pos="8640"/>
      </w:tabs>
      <w:jc w:val="right"/>
    </w:pPr>
    <w:r>
      <w:t>OIT Project &amp; Consulting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AA904" w14:textId="77777777" w:rsidR="00A117DC" w:rsidRDefault="00A117DC">
      <w:r>
        <w:separator/>
      </w:r>
    </w:p>
  </w:footnote>
  <w:footnote w:type="continuationSeparator" w:id="0">
    <w:p w14:paraId="17CEC52B" w14:textId="77777777" w:rsidR="00A117DC" w:rsidRDefault="00A11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12B6" w14:textId="74BEC847" w:rsidR="001001E0" w:rsidRDefault="00A117DC">
    <w:pPr>
      <w:pStyle w:val="Header"/>
    </w:pPr>
    <w:r>
      <w:rPr>
        <w:noProof/>
      </w:rPr>
      <w:pict w14:anchorId="7C521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5168;mso-wrap-edited:f;mso-position-horizontal:center;mso-position-horizontal-relative:margin;mso-position-vertical:center;mso-position-vertical-relative:margin" wrapcoords="21387 5426 17804 5426 17733 5426 17698 6384 17237 5426 16705 4894 16528 5320 14932 5320 14683 5639 14577 6065 14577 11278 11846 5107 11739 5320 11385 5426 11207 5533 11101 5852 10321 10746 8334 6277 7909 5426 6100 5320 5781 5426 5603 5639 5568 6065 5533 10640 3936 6703 3227 5213 3014 5639 2766 5426 2092 5320 957 5426 744 5426 638 5745 602 15960 957 16918 2766 16811 3333 16279 3901 15534 4327 14364 4575 15002 5887 17131 5958 16918 6277 16705 6348 16492 6348 13300 6703 11810 8334 16705 8760 17450 9115 16599 9931 17024 10072 16918 10214 16279 10675 14045 12200 13938 13194 16705 13619 17450 13903 16492 15073 16918 15322 16705 15393 16279 15393 13832 15641 12130 17131 11917 17521 12874 19542 17131 19613 16918 19968 16705 20003 16599 20039 8512 20394 7022 21103 6916 21458 6809 21600 6384 21600 5958 21387 5426"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33C42" w14:textId="1FD3B368" w:rsidR="001001E0" w:rsidRPr="006A6665" w:rsidRDefault="00A117DC" w:rsidP="00E16FFC">
    <w:pPr>
      <w:pStyle w:val="Header"/>
      <w:jc w:val="right"/>
      <w:rPr>
        <w:b/>
      </w:rPr>
    </w:pPr>
    <w:r>
      <w:rPr>
        <w:noProof/>
      </w:rPr>
      <w:pict w14:anchorId="46AAC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56.8pt;height:152.25pt;rotation:315;z-index:-251657216;mso-wrap-edited:f;mso-position-horizontal:center;mso-position-horizontal-relative:margin;mso-position-vertical:center;mso-position-vertical-relative:margin" wrapcoords="21387 5426 17804 5426 17733 5426 17698 6384 17237 5426 16705 4894 16528 5320 14932 5320 14683 5639 14577 6065 14577 11278 11846 5107 11739 5320 11385 5426 11207 5533 11101 5852 10321 10746 8334 6277 7909 5426 6100 5320 5781 5426 5603 5639 5568 6065 5533 10640 3936 6703 3227 5213 3014 5639 2766 5426 2092 5320 957 5426 744 5426 638 5745 602 15960 957 16918 2766 16811 3333 16279 3901 15534 4327 14364 4575 15002 5887 17131 5958 16918 6277 16705 6348 16492 6348 13300 6703 11810 8334 16705 8760 17450 9115 16599 9931 17024 10072 16918 10214 16279 10675 14045 12200 13938 13194 16705 13619 17450 13903 16492 15073 16918 15322 16705 15393 16279 15393 13832 15641 12130 17131 11917 17521 12874 19542 17131 19613 16918 19968 16705 20003 16599 20039 8512 20394 7022 21103 6916 21458 6809 21600 6384 21600 5958 21387 5426" fillcolor="silver" stroked="f">
          <v:textpath style="font-family:&quot;Calibri&quot;;font-size:1pt" string="DRAFT"/>
          <w10:wrap anchorx="margin" anchory="margin"/>
        </v:shape>
      </w:pict>
    </w:r>
    <w:r w:rsidR="001001E0">
      <w:rPr>
        <w:b/>
      </w:rPr>
      <w:t>Scope statement</w:t>
    </w:r>
    <w:r w:rsidR="001001E0" w:rsidRPr="00E16FFC">
      <w:rPr>
        <w:b/>
      </w:rPr>
      <w:t xml:space="preserve"> </w:t>
    </w:r>
    <w:r w:rsidR="001001E0">
      <w:rPr>
        <w:b/>
      </w:rPr>
      <w:t>for CC-NIE Project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621B" w14:textId="3FA7EA79" w:rsidR="001001E0" w:rsidRDefault="00A117DC" w:rsidP="00724349">
    <w:pPr>
      <w:pStyle w:val="Header"/>
      <w:jc w:val="center"/>
    </w:pPr>
    <w:r>
      <w:rPr>
        <w:noProof/>
      </w:rPr>
      <w:pict w14:anchorId="28E04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56.8pt;height:152.25pt;rotation:315;z-index:-251653120;mso-wrap-edited:f;mso-position-horizontal:center;mso-position-horizontal-relative:margin;mso-position-vertical:center;mso-position-vertical-relative:margin" wrapcoords="21387 5426 17804 5426 17733 5426 17698 6384 17237 5426 16705 4894 16528 5320 14932 5320 14683 5639 14577 6065 14577 11278 11846 5107 11739 5320 11385 5426 11207 5533 11101 5852 10321 10746 8334 6277 7909 5426 6100 5320 5781 5426 5603 5639 5568 6065 5533 10640 3936 6703 3227 5213 3014 5639 2766 5426 2092 5320 957 5426 744 5426 638 5745 602 15960 957 16918 2766 16811 3333 16279 3901 15534 4327 14364 4575 15002 5887 17131 5958 16918 6277 16705 6348 16492 6348 13300 6703 11810 8334 16705 8760 17450 9115 16599 9931 17024 10072 16918 10214 16279 10675 14045 12200 13938 13194 16705 13619 17450 13903 16492 15073 16918 15322 16705 15393 16279 15393 13832 15641 12130 17131 11917 17521 12874 19542 17131 19613 16918 19968 16705 20003 16599 20039 8512 20394 7022 21103 6916 21458 6809 21600 6384 21600 5958 21387 5426" fillcolor="silver" stroked="f">
          <v:textpath style="font-family:&quot;Calibri&quot;;font-size:1pt" string="DRAFT"/>
          <w10:wrap anchorx="margin" anchory="margin"/>
        </v:shape>
      </w:pict>
    </w:r>
    <w:r w:rsidR="001001E0">
      <w:rPr>
        <w:noProof/>
      </w:rPr>
      <w:drawing>
        <wp:inline distT="0" distB="0" distL="0" distR="0" wp14:anchorId="59F2A238" wp14:editId="4C461616">
          <wp:extent cx="1714500" cy="520700"/>
          <wp:effectExtent l="0" t="0" r="12700" b="12700"/>
          <wp:docPr id="1" name="Picture 1" descr="USE THIS ONE lrg_duke_univ_tagline_black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THIS ONE lrg_duke_univ_tagline_black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20700"/>
                  </a:xfrm>
                  <a:prstGeom prst="rect">
                    <a:avLst/>
                  </a:prstGeom>
                  <a:noFill/>
                  <a:ln>
                    <a:noFill/>
                  </a:ln>
                </pic:spPr>
              </pic:pic>
            </a:graphicData>
          </a:graphic>
        </wp:inline>
      </w:drawing>
    </w:r>
    <w:r w:rsidR="001001E0" w:rsidRPr="00156208">
      <w:rPr>
        <w:rFonts w:ascii="Arial" w:hAnsi="Arial"/>
      </w:rPr>
      <w:tab/>
    </w:r>
    <w:r w:rsidR="001001E0" w:rsidRPr="00156208">
      <w:rPr>
        <w:rFonts w:ascii="Arial" w:hAnsi="Arial"/>
      </w:rPr>
      <w:tab/>
    </w:r>
    <w:r w:rsidR="001001E0" w:rsidRPr="00724349">
      <w:rPr>
        <w:b/>
      </w:rPr>
      <w:t>Project &amp; Consulting Services</w:t>
    </w:r>
    <w:r w:rsidR="001001E0">
      <w:rPr>
        <w:b/>
      </w:rPr>
      <w:t xml:space="preserve"> (PCS)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484"/>
    <w:multiLevelType w:val="hybridMultilevel"/>
    <w:tmpl w:val="7818CA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A09388A"/>
    <w:multiLevelType w:val="hybridMultilevel"/>
    <w:tmpl w:val="6FA0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819EA"/>
    <w:multiLevelType w:val="hybridMultilevel"/>
    <w:tmpl w:val="AF2E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6C1AEE"/>
    <w:multiLevelType w:val="hybridMultilevel"/>
    <w:tmpl w:val="B8FC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9300A4"/>
    <w:multiLevelType w:val="hybridMultilevel"/>
    <w:tmpl w:val="A5BC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F257C"/>
    <w:multiLevelType w:val="hybridMultilevel"/>
    <w:tmpl w:val="1A3A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F224BE"/>
    <w:multiLevelType w:val="hybridMultilevel"/>
    <w:tmpl w:val="8152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047F53"/>
    <w:multiLevelType w:val="hybridMultilevel"/>
    <w:tmpl w:val="EB38619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3E8A6F4A"/>
    <w:multiLevelType w:val="hybridMultilevel"/>
    <w:tmpl w:val="2DB6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333490"/>
    <w:multiLevelType w:val="hybridMultilevel"/>
    <w:tmpl w:val="784A4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10C22"/>
    <w:multiLevelType w:val="hybridMultilevel"/>
    <w:tmpl w:val="4ED4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272959"/>
    <w:multiLevelType w:val="hybridMultilevel"/>
    <w:tmpl w:val="CF90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DB739B"/>
    <w:multiLevelType w:val="hybridMultilevel"/>
    <w:tmpl w:val="8FF671F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57517ABF"/>
    <w:multiLevelType w:val="hybridMultilevel"/>
    <w:tmpl w:val="874C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6050C9"/>
    <w:multiLevelType w:val="hybridMultilevel"/>
    <w:tmpl w:val="C87259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D125197"/>
    <w:multiLevelType w:val="hybridMultilevel"/>
    <w:tmpl w:val="C8CE09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DFF3AED"/>
    <w:multiLevelType w:val="hybridMultilevel"/>
    <w:tmpl w:val="C03A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3A06FB"/>
    <w:multiLevelType w:val="hybridMultilevel"/>
    <w:tmpl w:val="E17E26C0"/>
    <w:lvl w:ilvl="0" w:tplc="D82C9FE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312230"/>
    <w:multiLevelType w:val="hybridMultilevel"/>
    <w:tmpl w:val="A7D08A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66F50561"/>
    <w:multiLevelType w:val="hybridMultilevel"/>
    <w:tmpl w:val="226293E0"/>
    <w:lvl w:ilvl="0" w:tplc="D82C9FE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925B8E"/>
    <w:multiLevelType w:val="hybridMultilevel"/>
    <w:tmpl w:val="1AB2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892FA8"/>
    <w:multiLevelType w:val="hybridMultilevel"/>
    <w:tmpl w:val="E69C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4"/>
  </w:num>
  <w:num w:numId="4">
    <w:abstractNumId w:val="0"/>
  </w:num>
  <w:num w:numId="5">
    <w:abstractNumId w:val="7"/>
  </w:num>
  <w:num w:numId="6">
    <w:abstractNumId w:val="18"/>
  </w:num>
  <w:num w:numId="7">
    <w:abstractNumId w:val="9"/>
  </w:num>
  <w:num w:numId="8">
    <w:abstractNumId w:val="11"/>
  </w:num>
  <w:num w:numId="9">
    <w:abstractNumId w:val="19"/>
  </w:num>
  <w:num w:numId="10">
    <w:abstractNumId w:val="17"/>
  </w:num>
  <w:num w:numId="11">
    <w:abstractNumId w:val="13"/>
  </w:num>
  <w:num w:numId="12">
    <w:abstractNumId w:val="2"/>
  </w:num>
  <w:num w:numId="13">
    <w:abstractNumId w:val="10"/>
  </w:num>
  <w:num w:numId="14">
    <w:abstractNumId w:val="6"/>
  </w:num>
  <w:num w:numId="15">
    <w:abstractNumId w:val="1"/>
  </w:num>
  <w:num w:numId="16">
    <w:abstractNumId w:val="21"/>
  </w:num>
  <w:num w:numId="17">
    <w:abstractNumId w:val="4"/>
  </w:num>
  <w:num w:numId="18">
    <w:abstractNumId w:val="20"/>
  </w:num>
  <w:num w:numId="19">
    <w:abstractNumId w:val="5"/>
  </w:num>
  <w:num w:numId="20">
    <w:abstractNumId w:val="8"/>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BD"/>
    <w:rsid w:val="000456FC"/>
    <w:rsid w:val="000524DC"/>
    <w:rsid w:val="000549D7"/>
    <w:rsid w:val="00060833"/>
    <w:rsid w:val="00064299"/>
    <w:rsid w:val="00092A1A"/>
    <w:rsid w:val="000A3E8F"/>
    <w:rsid w:val="000B323D"/>
    <w:rsid w:val="000B3C72"/>
    <w:rsid w:val="000B3F87"/>
    <w:rsid w:val="000B6704"/>
    <w:rsid w:val="000C5A2B"/>
    <w:rsid w:val="000E7B5C"/>
    <w:rsid w:val="001001E0"/>
    <w:rsid w:val="00100A01"/>
    <w:rsid w:val="001039F8"/>
    <w:rsid w:val="001101EF"/>
    <w:rsid w:val="001103C7"/>
    <w:rsid w:val="00112CAA"/>
    <w:rsid w:val="001516EB"/>
    <w:rsid w:val="00152148"/>
    <w:rsid w:val="00154B4E"/>
    <w:rsid w:val="00156E43"/>
    <w:rsid w:val="001622B1"/>
    <w:rsid w:val="00165887"/>
    <w:rsid w:val="00175F36"/>
    <w:rsid w:val="001A30BC"/>
    <w:rsid w:val="001B2B85"/>
    <w:rsid w:val="001B4CC5"/>
    <w:rsid w:val="001D0EB2"/>
    <w:rsid w:val="001D5EA9"/>
    <w:rsid w:val="00200252"/>
    <w:rsid w:val="00210E1C"/>
    <w:rsid w:val="002121F6"/>
    <w:rsid w:val="00223A1C"/>
    <w:rsid w:val="00230F89"/>
    <w:rsid w:val="00232E00"/>
    <w:rsid w:val="0024749B"/>
    <w:rsid w:val="00262EF4"/>
    <w:rsid w:val="002C5363"/>
    <w:rsid w:val="00305548"/>
    <w:rsid w:val="00307FEB"/>
    <w:rsid w:val="00326089"/>
    <w:rsid w:val="003433C9"/>
    <w:rsid w:val="00346EFA"/>
    <w:rsid w:val="00354862"/>
    <w:rsid w:val="003A1C5F"/>
    <w:rsid w:val="003A696A"/>
    <w:rsid w:val="003B2724"/>
    <w:rsid w:val="003B7210"/>
    <w:rsid w:val="003C4528"/>
    <w:rsid w:val="003E0D66"/>
    <w:rsid w:val="003E52E1"/>
    <w:rsid w:val="003F086D"/>
    <w:rsid w:val="004040CF"/>
    <w:rsid w:val="00405073"/>
    <w:rsid w:val="004104C7"/>
    <w:rsid w:val="004177E9"/>
    <w:rsid w:val="00426173"/>
    <w:rsid w:val="00436EB7"/>
    <w:rsid w:val="00441D11"/>
    <w:rsid w:val="00491E1B"/>
    <w:rsid w:val="004B4D67"/>
    <w:rsid w:val="004D14C8"/>
    <w:rsid w:val="004D456B"/>
    <w:rsid w:val="0050239A"/>
    <w:rsid w:val="00525A0F"/>
    <w:rsid w:val="00546307"/>
    <w:rsid w:val="005558E1"/>
    <w:rsid w:val="00562325"/>
    <w:rsid w:val="00573BD6"/>
    <w:rsid w:val="00573E9F"/>
    <w:rsid w:val="00585096"/>
    <w:rsid w:val="005913F8"/>
    <w:rsid w:val="005B2821"/>
    <w:rsid w:val="005D133C"/>
    <w:rsid w:val="005D4358"/>
    <w:rsid w:val="005D51B6"/>
    <w:rsid w:val="005E0D5B"/>
    <w:rsid w:val="005E7395"/>
    <w:rsid w:val="005F34C9"/>
    <w:rsid w:val="0062078B"/>
    <w:rsid w:val="00625640"/>
    <w:rsid w:val="0063263B"/>
    <w:rsid w:val="00641359"/>
    <w:rsid w:val="006575B3"/>
    <w:rsid w:val="00684866"/>
    <w:rsid w:val="00685CCF"/>
    <w:rsid w:val="006A6665"/>
    <w:rsid w:val="006B760C"/>
    <w:rsid w:val="006C5CDC"/>
    <w:rsid w:val="006D047A"/>
    <w:rsid w:val="006D09F8"/>
    <w:rsid w:val="006D4FFC"/>
    <w:rsid w:val="006D6DAA"/>
    <w:rsid w:val="006E1345"/>
    <w:rsid w:val="006E160B"/>
    <w:rsid w:val="006F199F"/>
    <w:rsid w:val="006F382D"/>
    <w:rsid w:val="006F732E"/>
    <w:rsid w:val="00724349"/>
    <w:rsid w:val="00733825"/>
    <w:rsid w:val="0074561B"/>
    <w:rsid w:val="00747860"/>
    <w:rsid w:val="00747D08"/>
    <w:rsid w:val="0076103B"/>
    <w:rsid w:val="00775102"/>
    <w:rsid w:val="007871D9"/>
    <w:rsid w:val="007A30BD"/>
    <w:rsid w:val="007B6E29"/>
    <w:rsid w:val="007C421B"/>
    <w:rsid w:val="00807BB5"/>
    <w:rsid w:val="00830F81"/>
    <w:rsid w:val="00841556"/>
    <w:rsid w:val="00874BBD"/>
    <w:rsid w:val="00884043"/>
    <w:rsid w:val="008841F7"/>
    <w:rsid w:val="008B27D3"/>
    <w:rsid w:val="008E45A9"/>
    <w:rsid w:val="008F3EE7"/>
    <w:rsid w:val="00910014"/>
    <w:rsid w:val="009131C4"/>
    <w:rsid w:val="009226AD"/>
    <w:rsid w:val="009442B6"/>
    <w:rsid w:val="009473C5"/>
    <w:rsid w:val="00960B2E"/>
    <w:rsid w:val="009644E5"/>
    <w:rsid w:val="009877AF"/>
    <w:rsid w:val="00995E59"/>
    <w:rsid w:val="009A6D06"/>
    <w:rsid w:val="009A7147"/>
    <w:rsid w:val="009B1857"/>
    <w:rsid w:val="009C33B2"/>
    <w:rsid w:val="009F07AF"/>
    <w:rsid w:val="009F4C77"/>
    <w:rsid w:val="00A0469E"/>
    <w:rsid w:val="00A05246"/>
    <w:rsid w:val="00A05F74"/>
    <w:rsid w:val="00A117DC"/>
    <w:rsid w:val="00A20E2B"/>
    <w:rsid w:val="00A26B7C"/>
    <w:rsid w:val="00A33E5D"/>
    <w:rsid w:val="00A4207C"/>
    <w:rsid w:val="00A46FBF"/>
    <w:rsid w:val="00A47F8F"/>
    <w:rsid w:val="00A60BC0"/>
    <w:rsid w:val="00A77D9F"/>
    <w:rsid w:val="00A852D7"/>
    <w:rsid w:val="00AB2643"/>
    <w:rsid w:val="00AE4693"/>
    <w:rsid w:val="00B025D3"/>
    <w:rsid w:val="00B06CC4"/>
    <w:rsid w:val="00B176F0"/>
    <w:rsid w:val="00B63A5C"/>
    <w:rsid w:val="00BB03E7"/>
    <w:rsid w:val="00BB4994"/>
    <w:rsid w:val="00BC4216"/>
    <w:rsid w:val="00BE7461"/>
    <w:rsid w:val="00C23241"/>
    <w:rsid w:val="00C260AC"/>
    <w:rsid w:val="00C36E4C"/>
    <w:rsid w:val="00C42077"/>
    <w:rsid w:val="00C4241F"/>
    <w:rsid w:val="00C5364A"/>
    <w:rsid w:val="00C8214E"/>
    <w:rsid w:val="00C9213A"/>
    <w:rsid w:val="00C92778"/>
    <w:rsid w:val="00C93265"/>
    <w:rsid w:val="00C95478"/>
    <w:rsid w:val="00CA7640"/>
    <w:rsid w:val="00CE3E08"/>
    <w:rsid w:val="00CF5E22"/>
    <w:rsid w:val="00D2273E"/>
    <w:rsid w:val="00D33728"/>
    <w:rsid w:val="00D43EBF"/>
    <w:rsid w:val="00DB3107"/>
    <w:rsid w:val="00DC3873"/>
    <w:rsid w:val="00DF369C"/>
    <w:rsid w:val="00DF4302"/>
    <w:rsid w:val="00DF6682"/>
    <w:rsid w:val="00DF792D"/>
    <w:rsid w:val="00E07563"/>
    <w:rsid w:val="00E16FFC"/>
    <w:rsid w:val="00E170D6"/>
    <w:rsid w:val="00E72742"/>
    <w:rsid w:val="00E811DA"/>
    <w:rsid w:val="00E8164F"/>
    <w:rsid w:val="00E841C6"/>
    <w:rsid w:val="00E970AF"/>
    <w:rsid w:val="00EA65AA"/>
    <w:rsid w:val="00EB695C"/>
    <w:rsid w:val="00F06E9F"/>
    <w:rsid w:val="00F30A54"/>
    <w:rsid w:val="00F52576"/>
    <w:rsid w:val="00F7757C"/>
    <w:rsid w:val="00F81BC0"/>
    <w:rsid w:val="00F91D37"/>
    <w:rsid w:val="00F91F88"/>
    <w:rsid w:val="00F92726"/>
    <w:rsid w:val="00F96BAD"/>
    <w:rsid w:val="00F97F57"/>
    <w:rsid w:val="00FA7172"/>
    <w:rsid w:val="00FF5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F15A7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57C"/>
    <w:rPr>
      <w:rFonts w:ascii="Calibri" w:hAnsi="Calibri"/>
      <w:szCs w:val="24"/>
    </w:rPr>
  </w:style>
  <w:style w:type="paragraph" w:styleId="Heading1">
    <w:name w:val="heading 1"/>
    <w:basedOn w:val="Normal"/>
    <w:next w:val="Normal"/>
    <w:qFormat/>
    <w:rsid w:val="00F7757C"/>
    <w:pPr>
      <w:keepNext/>
      <w:spacing w:before="240" w:after="60"/>
      <w:outlineLvl w:val="0"/>
    </w:pPr>
    <w:rPr>
      <w:rFonts w:cs="Arial"/>
      <w:b/>
      <w:bCs/>
      <w:kern w:val="32"/>
      <w:sz w:val="24"/>
      <w:szCs w:val="28"/>
    </w:rPr>
  </w:style>
  <w:style w:type="paragraph" w:styleId="Heading2">
    <w:name w:val="heading 2"/>
    <w:basedOn w:val="Normal"/>
    <w:next w:val="Normal"/>
    <w:qFormat/>
    <w:rsid w:val="00747D08"/>
    <w:pPr>
      <w:keepNext/>
      <w:spacing w:before="120" w:after="60"/>
      <w:outlineLvl w:val="1"/>
    </w:pPr>
    <w:rPr>
      <w:rFonts w:cs="Arial"/>
      <w:b/>
      <w:bCs/>
      <w:iCs/>
    </w:rPr>
  </w:style>
  <w:style w:type="paragraph" w:styleId="Heading3">
    <w:name w:val="heading 3"/>
    <w:basedOn w:val="Normal"/>
    <w:next w:val="Normal"/>
    <w:qFormat/>
    <w:rsid w:val="00747D08"/>
    <w:pPr>
      <w:keepNext/>
      <w:spacing w:before="120" w:after="60"/>
      <w:outlineLvl w:val="2"/>
    </w:pPr>
    <w:rPr>
      <w:rFonts w:cs="Arial"/>
      <w:b/>
      <w:bCs/>
      <w:i/>
      <w:szCs w:val="26"/>
    </w:rPr>
  </w:style>
  <w:style w:type="paragraph" w:styleId="Heading4">
    <w:name w:val="heading 4"/>
    <w:basedOn w:val="Normal"/>
    <w:next w:val="Normal"/>
    <w:qFormat/>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3433C9"/>
    <w:pPr>
      <w:pBdr>
        <w:bottom w:val="single" w:sz="18" w:space="1" w:color="4F81BD"/>
      </w:pBdr>
      <w:spacing w:before="240" w:after="60"/>
      <w:outlineLvl w:val="0"/>
    </w:pPr>
    <w:rPr>
      <w:rFonts w:cs="Arial"/>
      <w:b/>
      <w:bCs/>
      <w:color w:val="4F81BD"/>
      <w:kern w:val="28"/>
      <w:sz w:val="32"/>
      <w:szCs w:val="32"/>
    </w:rPr>
  </w:style>
  <w:style w:type="paragraph" w:styleId="BodyText">
    <w:name w:val="Body Text"/>
    <w:basedOn w:val="Normal"/>
    <w:rsid w:val="00C260AC"/>
    <w:pPr>
      <w:autoSpaceDE w:val="0"/>
      <w:autoSpaceDN w:val="0"/>
      <w:adjustRightInd w:val="0"/>
      <w:spacing w:after="120" w:line="240" w:lineRule="atLeast"/>
    </w:pPr>
    <w:rPr>
      <w:rFonts w:eastAsia="Times"/>
      <w:color w:val="000000"/>
      <w:szCs w:val="20"/>
    </w:rPr>
  </w:style>
  <w:style w:type="paragraph" w:styleId="BalloonText">
    <w:name w:val="Balloon Text"/>
    <w:basedOn w:val="Normal"/>
    <w:semiHidden/>
    <w:rPr>
      <w:rFonts w:ascii="Lucida Grande" w:hAnsi="Lucida Grande"/>
      <w:sz w:val="18"/>
      <w:szCs w:val="18"/>
    </w:rPr>
  </w:style>
  <w:style w:type="table" w:styleId="TableGrid">
    <w:name w:val="Table Grid"/>
    <w:basedOn w:val="TableNormal"/>
    <w:uiPriority w:val="59"/>
    <w:rsid w:val="00A42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A4207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uiPriority w:val="99"/>
    <w:unhideWhenUsed/>
    <w:rsid w:val="00F81BC0"/>
    <w:rPr>
      <w:color w:val="0000FF"/>
      <w:u w:val="single"/>
    </w:rPr>
  </w:style>
  <w:style w:type="table" w:styleId="MediumShading1-Accent1">
    <w:name w:val="Medium Shading 1 Accent 1"/>
    <w:basedOn w:val="TableNormal"/>
    <w:uiPriority w:val="63"/>
    <w:rsid w:val="00C260A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C260A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525A0F"/>
    <w:pPr>
      <w:ind w:left="720"/>
      <w:contextualSpacing/>
    </w:pPr>
  </w:style>
  <w:style w:type="character" w:styleId="CommentReference">
    <w:name w:val="annotation reference"/>
    <w:basedOn w:val="DefaultParagraphFont"/>
    <w:uiPriority w:val="99"/>
    <w:semiHidden/>
    <w:unhideWhenUsed/>
    <w:rsid w:val="00DC3873"/>
    <w:rPr>
      <w:sz w:val="18"/>
      <w:szCs w:val="18"/>
    </w:rPr>
  </w:style>
  <w:style w:type="paragraph" w:styleId="CommentText">
    <w:name w:val="annotation text"/>
    <w:basedOn w:val="Normal"/>
    <w:link w:val="CommentTextChar"/>
    <w:uiPriority w:val="99"/>
    <w:semiHidden/>
    <w:unhideWhenUsed/>
    <w:rsid w:val="00DC3873"/>
    <w:rPr>
      <w:sz w:val="24"/>
    </w:rPr>
  </w:style>
  <w:style w:type="character" w:customStyle="1" w:styleId="CommentTextChar">
    <w:name w:val="Comment Text Char"/>
    <w:basedOn w:val="DefaultParagraphFont"/>
    <w:link w:val="CommentText"/>
    <w:uiPriority w:val="99"/>
    <w:semiHidden/>
    <w:rsid w:val="00DC3873"/>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DC3873"/>
    <w:rPr>
      <w:b/>
      <w:bCs/>
      <w:sz w:val="20"/>
      <w:szCs w:val="20"/>
    </w:rPr>
  </w:style>
  <w:style w:type="character" w:customStyle="1" w:styleId="CommentSubjectChar">
    <w:name w:val="Comment Subject Char"/>
    <w:basedOn w:val="CommentTextChar"/>
    <w:link w:val="CommentSubject"/>
    <w:uiPriority w:val="99"/>
    <w:semiHidden/>
    <w:rsid w:val="00DC3873"/>
    <w:rPr>
      <w:rFonts w:ascii="Calibri" w:hAnsi="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57C"/>
    <w:rPr>
      <w:rFonts w:ascii="Calibri" w:hAnsi="Calibri"/>
      <w:szCs w:val="24"/>
    </w:rPr>
  </w:style>
  <w:style w:type="paragraph" w:styleId="Heading1">
    <w:name w:val="heading 1"/>
    <w:basedOn w:val="Normal"/>
    <w:next w:val="Normal"/>
    <w:qFormat/>
    <w:rsid w:val="00F7757C"/>
    <w:pPr>
      <w:keepNext/>
      <w:spacing w:before="240" w:after="60"/>
      <w:outlineLvl w:val="0"/>
    </w:pPr>
    <w:rPr>
      <w:rFonts w:cs="Arial"/>
      <w:b/>
      <w:bCs/>
      <w:kern w:val="32"/>
      <w:sz w:val="24"/>
      <w:szCs w:val="28"/>
    </w:rPr>
  </w:style>
  <w:style w:type="paragraph" w:styleId="Heading2">
    <w:name w:val="heading 2"/>
    <w:basedOn w:val="Normal"/>
    <w:next w:val="Normal"/>
    <w:qFormat/>
    <w:rsid w:val="00747D08"/>
    <w:pPr>
      <w:keepNext/>
      <w:spacing w:before="120" w:after="60"/>
      <w:outlineLvl w:val="1"/>
    </w:pPr>
    <w:rPr>
      <w:rFonts w:cs="Arial"/>
      <w:b/>
      <w:bCs/>
      <w:iCs/>
    </w:rPr>
  </w:style>
  <w:style w:type="paragraph" w:styleId="Heading3">
    <w:name w:val="heading 3"/>
    <w:basedOn w:val="Normal"/>
    <w:next w:val="Normal"/>
    <w:qFormat/>
    <w:rsid w:val="00747D08"/>
    <w:pPr>
      <w:keepNext/>
      <w:spacing w:before="120" w:after="60"/>
      <w:outlineLvl w:val="2"/>
    </w:pPr>
    <w:rPr>
      <w:rFonts w:cs="Arial"/>
      <w:b/>
      <w:bCs/>
      <w:i/>
      <w:szCs w:val="26"/>
    </w:rPr>
  </w:style>
  <w:style w:type="paragraph" w:styleId="Heading4">
    <w:name w:val="heading 4"/>
    <w:basedOn w:val="Normal"/>
    <w:next w:val="Normal"/>
    <w:qFormat/>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3433C9"/>
    <w:pPr>
      <w:pBdr>
        <w:bottom w:val="single" w:sz="18" w:space="1" w:color="4F81BD"/>
      </w:pBdr>
      <w:spacing w:before="240" w:after="60"/>
      <w:outlineLvl w:val="0"/>
    </w:pPr>
    <w:rPr>
      <w:rFonts w:cs="Arial"/>
      <w:b/>
      <w:bCs/>
      <w:color w:val="4F81BD"/>
      <w:kern w:val="28"/>
      <w:sz w:val="32"/>
      <w:szCs w:val="32"/>
    </w:rPr>
  </w:style>
  <w:style w:type="paragraph" w:styleId="BodyText">
    <w:name w:val="Body Text"/>
    <w:basedOn w:val="Normal"/>
    <w:rsid w:val="00C260AC"/>
    <w:pPr>
      <w:autoSpaceDE w:val="0"/>
      <w:autoSpaceDN w:val="0"/>
      <w:adjustRightInd w:val="0"/>
      <w:spacing w:after="120" w:line="240" w:lineRule="atLeast"/>
    </w:pPr>
    <w:rPr>
      <w:rFonts w:eastAsia="Times"/>
      <w:color w:val="000000"/>
      <w:szCs w:val="20"/>
    </w:rPr>
  </w:style>
  <w:style w:type="paragraph" w:styleId="BalloonText">
    <w:name w:val="Balloon Text"/>
    <w:basedOn w:val="Normal"/>
    <w:semiHidden/>
    <w:rPr>
      <w:rFonts w:ascii="Lucida Grande" w:hAnsi="Lucida Grande"/>
      <w:sz w:val="18"/>
      <w:szCs w:val="18"/>
    </w:rPr>
  </w:style>
  <w:style w:type="table" w:styleId="TableGrid">
    <w:name w:val="Table Grid"/>
    <w:basedOn w:val="TableNormal"/>
    <w:uiPriority w:val="59"/>
    <w:rsid w:val="00A42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A4207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uiPriority w:val="99"/>
    <w:unhideWhenUsed/>
    <w:rsid w:val="00F81BC0"/>
    <w:rPr>
      <w:color w:val="0000FF"/>
      <w:u w:val="single"/>
    </w:rPr>
  </w:style>
  <w:style w:type="table" w:styleId="MediumShading1-Accent1">
    <w:name w:val="Medium Shading 1 Accent 1"/>
    <w:basedOn w:val="TableNormal"/>
    <w:uiPriority w:val="63"/>
    <w:rsid w:val="00C260A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C260A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525A0F"/>
    <w:pPr>
      <w:ind w:left="720"/>
      <w:contextualSpacing/>
    </w:pPr>
  </w:style>
  <w:style w:type="character" w:styleId="CommentReference">
    <w:name w:val="annotation reference"/>
    <w:basedOn w:val="DefaultParagraphFont"/>
    <w:uiPriority w:val="99"/>
    <w:semiHidden/>
    <w:unhideWhenUsed/>
    <w:rsid w:val="00DC3873"/>
    <w:rPr>
      <w:sz w:val="18"/>
      <w:szCs w:val="18"/>
    </w:rPr>
  </w:style>
  <w:style w:type="paragraph" w:styleId="CommentText">
    <w:name w:val="annotation text"/>
    <w:basedOn w:val="Normal"/>
    <w:link w:val="CommentTextChar"/>
    <w:uiPriority w:val="99"/>
    <w:semiHidden/>
    <w:unhideWhenUsed/>
    <w:rsid w:val="00DC3873"/>
    <w:rPr>
      <w:sz w:val="24"/>
    </w:rPr>
  </w:style>
  <w:style w:type="character" w:customStyle="1" w:styleId="CommentTextChar">
    <w:name w:val="Comment Text Char"/>
    <w:basedOn w:val="DefaultParagraphFont"/>
    <w:link w:val="CommentText"/>
    <w:uiPriority w:val="99"/>
    <w:semiHidden/>
    <w:rsid w:val="00DC3873"/>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DC3873"/>
    <w:rPr>
      <w:b/>
      <w:bCs/>
      <w:sz w:val="20"/>
      <w:szCs w:val="20"/>
    </w:rPr>
  </w:style>
  <w:style w:type="character" w:customStyle="1" w:styleId="CommentSubjectChar">
    <w:name w:val="Comment Subject Char"/>
    <w:basedOn w:val="CommentTextChar"/>
    <w:link w:val="CommentSubject"/>
    <w:uiPriority w:val="99"/>
    <w:semiHidden/>
    <w:rsid w:val="00DC3873"/>
    <w:rPr>
      <w:rFonts w:ascii="Calibri" w:hAnsi="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45069">
      <w:bodyDiv w:val="1"/>
      <w:marLeft w:val="0"/>
      <w:marRight w:val="0"/>
      <w:marTop w:val="0"/>
      <w:marBottom w:val="0"/>
      <w:divBdr>
        <w:top w:val="none" w:sz="0" w:space="0" w:color="auto"/>
        <w:left w:val="none" w:sz="0" w:space="0" w:color="auto"/>
        <w:bottom w:val="none" w:sz="0" w:space="0" w:color="auto"/>
        <w:right w:val="none" w:sz="0" w:space="0" w:color="auto"/>
      </w:divBdr>
    </w:div>
    <w:div w:id="183063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C5B823A7A4A4FB1DD96A635B803B7" ma:contentTypeVersion="0" ma:contentTypeDescription="Create a new document." ma:contentTypeScope="" ma:versionID="979531f0f0f0e89cbb6600afaf3e63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79E5B-D7F3-4CA6-917A-441BFC6C3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7557B9-B4F9-4B42-9009-6EAD1F6385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761DC4-DD88-4079-912F-308B963240A0}">
  <ds:schemaRefs>
    <ds:schemaRef ds:uri="http://schemas.microsoft.com/sharepoint/v3/contenttype/forms"/>
  </ds:schemaRefs>
</ds:datastoreItem>
</file>

<file path=customXml/itemProps4.xml><?xml version="1.0" encoding="utf-8"?>
<ds:datastoreItem xmlns:ds="http://schemas.openxmlformats.org/officeDocument/2006/customXml" ds:itemID="{3EDE0A75-88AD-4E45-979B-CD53C703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Statement of Work</vt:lpstr>
    </vt:vector>
  </TitlesOfParts>
  <Company>Duke University</Company>
  <LinksUpToDate>false</LinksUpToDate>
  <CharactersWithSpaces>8865</CharactersWithSpaces>
  <SharedDoc>false</SharedDoc>
  <HLinks>
    <vt:vector size="6" baseType="variant">
      <vt:variant>
        <vt:i4>1966083</vt:i4>
      </vt:variant>
      <vt:variant>
        <vt:i4>5308</vt:i4>
      </vt:variant>
      <vt:variant>
        <vt:i4>1025</vt:i4>
      </vt:variant>
      <vt:variant>
        <vt:i4>1</vt:i4>
      </vt:variant>
      <vt:variant>
        <vt:lpwstr>USE THIS ONE lrg_duke_univ_tagline_black_hr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dc:title>
  <dc:creator>Isabel Huffman</dc:creator>
  <cp:lastModifiedBy>Charles Kneifel</cp:lastModifiedBy>
  <cp:revision>2</cp:revision>
  <cp:lastPrinted>2012-10-30T17:05:00Z</cp:lastPrinted>
  <dcterms:created xsi:type="dcterms:W3CDTF">2013-09-27T12:34:00Z</dcterms:created>
  <dcterms:modified xsi:type="dcterms:W3CDTF">2013-09-27T12:34:00Z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0x01010041EC5B823A7A4A4FB1DD96A635B803B7</vt:lpwstr>
  </property>
</Properties>
</file>